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B5FB2F" w14:textId="77777777" w:rsidR="00B346AD" w:rsidRDefault="0078292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de-D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de-DE"/>
        </w:rPr>
        <w:t>Aufgabe:</w:t>
      </w:r>
    </w:p>
    <w:p w14:paraId="43721FC1" w14:textId="77777777" w:rsidR="00B346AD" w:rsidRDefault="0078292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de-D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de-DE"/>
        </w:rPr>
        <w:t>Ihr sollt der Klasse erklären, wie die Genschere CRISPR/Cas funktioniert.</w:t>
      </w:r>
    </w:p>
    <w:p w14:paraId="0C38F540" w14:textId="77777777" w:rsidR="00B346AD" w:rsidRDefault="0078292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de-D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de-DE"/>
        </w:rPr>
        <w:t>Dazu erhaltet ihr den unten abgebildeten Comic im Großformat. Ihr sollt ihn erläutern.</w:t>
      </w:r>
    </w:p>
    <w:p w14:paraId="00254C54" w14:textId="77777777" w:rsidR="00B346AD" w:rsidRDefault="00782924">
      <w:pPr>
        <w:pStyle w:val="Listenabsatz"/>
        <w:numPr>
          <w:ilvl w:val="0"/>
          <w:numId w:val="1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de-D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de-DE"/>
        </w:rPr>
        <w:t>Erarbeitet euch gemeinsam das Hintergrundwissen. Erläutert euch gegenseitig das Schaubild (S.2)</w:t>
      </w:r>
    </w:p>
    <w:p w14:paraId="31EDEF35" w14:textId="77777777" w:rsidR="00B346AD" w:rsidRDefault="00782924">
      <w:pPr>
        <w:pStyle w:val="Listenabsatz"/>
        <w:numPr>
          <w:ilvl w:val="0"/>
          <w:numId w:val="1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de-D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de-DE"/>
        </w:rPr>
        <w:t>Klärt die Fachbegriffe aus dem Comic (z.B. DNA, RNA, Bakterien, Viren etc.) untereinander</w:t>
      </w:r>
    </w:p>
    <w:p w14:paraId="0FFEA30B" w14:textId="77777777" w:rsidR="00B346AD" w:rsidRDefault="00782924">
      <w:pPr>
        <w:pStyle w:val="Listenabsatz"/>
        <w:numPr>
          <w:ilvl w:val="0"/>
          <w:numId w:val="1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de-D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de-DE"/>
        </w:rPr>
        <w:t>Erklärt euch gegenseitig die Schritte im Comic, bis ihr es so einfach darstellen könnt, dass alle in der Klasse es verstehen</w:t>
      </w:r>
    </w:p>
    <w:p w14:paraId="36C1963E" w14:textId="77777777" w:rsidR="00B346AD" w:rsidRDefault="00782924">
      <w:pPr>
        <w:pStyle w:val="Listenabsatz"/>
        <w:numPr>
          <w:ilvl w:val="0"/>
          <w:numId w:val="1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de-D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de-DE"/>
        </w:rPr>
        <w:t>Es geht darum, das Ergebnis zu verstehen – den Prozess dahin müssen wir biologisch nicht ganz genau nachvollziehen können. Ziel ist es zu verstehen: Was kann die Genschere tun?</w:t>
      </w:r>
    </w:p>
    <w:p w14:paraId="3BAD99AC" w14:textId="77777777" w:rsidR="00B346AD" w:rsidRDefault="00782924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de-D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de-DE"/>
        </w:rPr>
        <w:t>Platz für Notizen: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de-DE"/>
        </w:rPr>
        <w:br w:type="page"/>
      </w:r>
    </w:p>
    <w:p w14:paraId="0DED2A76" w14:textId="77777777" w:rsidR="00B346AD" w:rsidRDefault="0078292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de-D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de-DE"/>
        </w:rPr>
        <w:lastRenderedPageBreak/>
        <w:t>1. Hintergrundinformationen erarbeiten:</w:t>
      </w:r>
    </w:p>
    <w:p w14:paraId="5E82B593" w14:textId="77777777" w:rsidR="00B346AD" w:rsidRDefault="0078292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de-D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de-DE"/>
        </w:rPr>
        <w:t>Wie funktioniert CRISPR/Cas?</w:t>
      </w:r>
    </w:p>
    <w:p w14:paraId="78F180CD" w14:textId="08C436CF" w:rsidR="00920FBE" w:rsidRDefault="007829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t>CRISPR/Cas</w:t>
      </w: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heißt das Zauberwort in den Laboren weltweit, oder kurz: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t>Genschere</w:t>
      </w: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. Einfach und präzise in der Anwendung, preisgünstig in der Herstellung. Die neuartige Methode ist ein Verfahren des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de-DE"/>
        </w:rPr>
        <w:t>Genome Editing</w:t>
      </w: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, dem gezielten Umschreiben von Erbinformationen, und könnte </w:t>
      </w:r>
      <w:r w:rsidR="00E03085">
        <w:rPr>
          <w:rFonts w:ascii="Times New Roman" w:eastAsia="Times New Roman" w:hAnsi="Times New Roman" w:cs="Times New Roman"/>
          <w:sz w:val="24"/>
          <w:szCs w:val="24"/>
          <w:lang w:eastAsia="de-DE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ie Gentechnik revolutionieren. CRISPR/Cas – wie geht das, was kann es und wo sind </w:t>
      </w:r>
      <w:r w:rsidR="00E03085">
        <w:rPr>
          <w:rFonts w:ascii="Times New Roman" w:eastAsia="Times New Roman" w:hAnsi="Times New Roman" w:cs="Times New Roman"/>
          <w:sz w:val="24"/>
          <w:szCs w:val="24"/>
          <w:lang w:eastAsia="de-DE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>eine</w:t>
      </w:r>
      <w:r w:rsidR="00E03085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>Grenzen?</w:t>
      </w:r>
    </w:p>
    <w:p w14:paraId="3BAB443A" w14:textId="0D9380CB" w:rsidR="00952313" w:rsidRPr="00952313" w:rsidRDefault="00782924" w:rsidP="00952313">
      <w:pPr>
        <w:spacing w:before="100" w:beforeAutospacing="1" w:after="100" w:afterAutospacing="1" w:line="240" w:lineRule="auto"/>
      </w:pPr>
      <w:r>
        <w:rPr>
          <w:noProof/>
          <w:lang w:eastAsia="de-DE"/>
        </w:rPr>
        <w:drawing>
          <wp:inline distT="0" distB="0" distL="0" distR="0" wp14:anchorId="7B192EDD" wp14:editId="1027BF49">
            <wp:extent cx="5120640" cy="4917282"/>
            <wp:effectExtent l="0" t="0" r="3810" b="0"/>
            <wp:docPr id="1" name="Grafik 1" descr="CRISPR/Cas9 Prozess. Pflanzenforschung. Gensch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CRISPR/Cas9 Prozess. Pflanzenforschung. Genschere"/>
                    <pic:cNvPicPr>
                      <a:picLocks noChangeAspect="1"/>
                    </pic:cNvPicPr>
                  </pic:nvPicPr>
                  <pic:blipFill>
                    <a:blip r:embed="rId7"/>
                    <a:stretch/>
                  </pic:blipFill>
                  <pic:spPr bwMode="auto">
                    <a:xfrm>
                      <a:off x="0" y="0"/>
                      <a:ext cx="5121122" cy="491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8" w:history="1">
        <w:r w:rsidR="00952313" w:rsidRPr="009060F4">
          <w:rPr>
            <w:rStyle w:val="Hyperlink"/>
            <w:sz w:val="20"/>
          </w:rPr>
          <w:t>https://www.pflanzenforschung.de/de/mediathek/bilder-und-infografiken</w:t>
        </w:r>
      </w:hyperlink>
      <w:r w:rsidR="00952313">
        <w:rPr>
          <w:color w:val="000000"/>
          <w:sz w:val="20"/>
        </w:rPr>
        <w:t xml:space="preserve"> </w:t>
      </w:r>
      <w:r w:rsidR="00952313">
        <w:rPr>
          <w:color w:val="000000"/>
          <w:sz w:val="20"/>
        </w:rPr>
        <w:t xml:space="preserve">(Freie Nutzung </w:t>
      </w:r>
      <w:r w:rsidR="00952313" w:rsidRPr="00195328">
        <w:rPr>
          <w:color w:val="000000"/>
          <w:sz w:val="20"/>
        </w:rPr>
        <w:t>für redaktionelle, nichtkommerzielle Zwecke sowie Poster, Vorträge etc. unter Angabe der Quelle "© Pflanzenforschung.de" bzw."© GENOMXPRESS SCHOLAE"</w:t>
      </w:r>
      <w:r w:rsidR="00952313">
        <w:rPr>
          <w:color w:val="000000"/>
          <w:sz w:val="20"/>
        </w:rPr>
        <w:t xml:space="preserve"> </w:t>
      </w:r>
      <w:r w:rsidR="00952313" w:rsidRPr="00195328">
        <w:rPr>
          <w:color w:val="000000"/>
          <w:sz w:val="20"/>
        </w:rPr>
        <w:t>Kommerzielle Nutzung</w:t>
      </w:r>
      <w:r w:rsidR="00952313">
        <w:rPr>
          <w:color w:val="000000"/>
          <w:sz w:val="20"/>
        </w:rPr>
        <w:t xml:space="preserve"> auf Anfrage)</w:t>
      </w:r>
    </w:p>
    <w:p w14:paraId="449D6169" w14:textId="7E5DBE0E" w:rsidR="00B346AD" w:rsidRDefault="00782924">
      <w:pPr>
        <w:pStyle w:val="berschrift4"/>
      </w:pPr>
      <w:r>
        <w:rPr>
          <w:rStyle w:val="mw-headline"/>
        </w:rPr>
        <w:t>Biologie</w:t>
      </w:r>
    </w:p>
    <w:p w14:paraId="1F742CF1" w14:textId="1AA11B47" w:rsidR="00B346AD" w:rsidRPr="00952313" w:rsidRDefault="00782924" w:rsidP="00952313">
      <w:pPr>
        <w:pStyle w:val="StandardWeb"/>
      </w:pPr>
      <w:r>
        <w:t xml:space="preserve">Der Begriff </w:t>
      </w:r>
      <w:r>
        <w:rPr>
          <w:i/>
          <w:iCs/>
        </w:rPr>
        <w:t>Gene Editing</w:t>
      </w:r>
      <w:r>
        <w:t xml:space="preserve">, </w:t>
      </w:r>
      <w:r>
        <w:rPr>
          <w:i/>
          <w:iCs/>
        </w:rPr>
        <w:t>Genomeditierung</w:t>
      </w:r>
      <w:r>
        <w:t xml:space="preserve"> oder </w:t>
      </w:r>
      <w:r>
        <w:rPr>
          <w:i/>
          <w:iCs/>
        </w:rPr>
        <w:t>Genomchirurgie</w:t>
      </w:r>
      <w:r>
        <w:t xml:space="preserve"> beschreibt ein neues Verfahren der Gentechnik. Ihre bekannteste Methode ist CRISPR-Cas. Die CRISPR-Cas-Methode wurde 2012 als steuerbare Genschere für die Molekularbiologie entdeckt. Zwei Biologinnen haben das Werkzeug aus einer Art Bakterien-Immunsystem entwickelt. Das CRISPR-Cas-System wird im Video von der Max-Planck-Gesellschaft erklärt. </w:t>
      </w:r>
      <w:hyperlink r:id="rId9" w:tooltip="https://unterrichten.zum.de/wiki/Gene_Editing" w:history="1">
        <w:r>
          <w:rPr>
            <w:rStyle w:val="Hyperlink"/>
          </w:rPr>
          <w:t>https://unterrichten.zum.de/wiki/Gene_Editing</w:t>
        </w:r>
      </w:hyperlink>
    </w:p>
    <w:p w14:paraId="46ECD545" w14:textId="77777777" w:rsidR="00B346AD" w:rsidRDefault="0078292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de-D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de-DE"/>
        </w:rPr>
        <w:lastRenderedPageBreak/>
        <w:t>2. Der Klasse einen Comic erläutern:</w:t>
      </w:r>
    </w:p>
    <w:p w14:paraId="06BE88FE" w14:textId="77777777" w:rsidR="00B346AD" w:rsidRDefault="00782924">
      <w:pPr>
        <w:tabs>
          <w:tab w:val="left" w:pos="2268"/>
        </w:tabs>
      </w:pPr>
      <w:r>
        <w:rPr>
          <w:noProof/>
          <w:lang w:eastAsia="de-DE"/>
        </w:rPr>
        <w:drawing>
          <wp:inline distT="0" distB="0" distL="0" distR="0" wp14:anchorId="5FE215AE" wp14:editId="6E91D2BC">
            <wp:extent cx="5760720" cy="7639473"/>
            <wp:effectExtent l="0" t="0" r="3175" b="0"/>
            <wp:docPr id="2" name="Grafik 8" descr="Wissenschaftscomic Naturwissenschaften Klarsoweit CRISPR Genschere molekulare Schere Molekularbiolog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Wissenschaftscomic Naturwissenschaften Klarsoweit CRISPR Genschere molekulare Schere Molekularbiologie"/>
                    <pic:cNvPicPr>
                      <a:picLocks noChangeAspect="1"/>
                    </pic:cNvPicPr>
                  </pic:nvPicPr>
                  <pic:blipFill>
                    <a:blip r:embed="rId10"/>
                    <a:stretch/>
                  </pic:blipFill>
                  <pic:spPr bwMode="auto">
                    <a:xfrm>
                      <a:off x="0" y="0"/>
                      <a:ext cx="5760720" cy="763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14:paraId="569A3258" w14:textId="77777777" w:rsidR="00B346AD" w:rsidRDefault="00782924">
      <w:pPr>
        <w:tabs>
          <w:tab w:val="left" w:pos="3098"/>
        </w:tabs>
      </w:pPr>
      <w:r>
        <w:lastRenderedPageBreak/>
        <w:t xml:space="preserve"> </w:t>
      </w:r>
      <w:bookmarkStart w:id="0" w:name="_GoBack"/>
      <w:r>
        <w:rPr>
          <w:noProof/>
          <w:lang w:eastAsia="de-DE"/>
        </w:rPr>
        <w:drawing>
          <wp:inline distT="0" distB="0" distL="0" distR="0" wp14:anchorId="1EA060A9" wp14:editId="09A8FE67">
            <wp:extent cx="5760720" cy="8504767"/>
            <wp:effectExtent l="0" t="0" r="0" b="0"/>
            <wp:docPr id="3" name="Grafik 5" descr="https://blogs.helmholtz.de/augenspiegel/wp-content/uploads/sites/10/2016/09/Klarsoweit32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7" descr="https://blogs.helmholtz.de/augenspiegel/wp-content/uploads/sites/10/2016/09/Klarsoweit32_01.jpg"/>
                    <pic:cNvPicPr>
                      <a:picLocks noChangeAspect="1"/>
                    </pic:cNvPicPr>
                  </pic:nvPicPr>
                  <pic:blipFill>
                    <a:blip r:embed="rId11"/>
                    <a:stretch/>
                  </pic:blipFill>
                  <pic:spPr bwMode="auto">
                    <a:xfrm>
                      <a:off x="0" y="0"/>
                      <a:ext cx="5760720" cy="850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t xml:space="preserve"> </w:t>
      </w:r>
      <w:r>
        <w:rPr>
          <w:noProof/>
          <w:lang w:eastAsia="de-DE"/>
        </w:rPr>
        <w:lastRenderedPageBreak/>
        <w:drawing>
          <wp:inline distT="0" distB="0" distL="0" distR="0" wp14:anchorId="33346214" wp14:editId="7BA356A1">
            <wp:extent cx="5760720" cy="7758007"/>
            <wp:effectExtent l="0" t="0" r="0" b="0"/>
            <wp:docPr id="4" name="Grafik 6" descr="Helmholtz Wissenschaftscomic Molekularbiologie CRISPR Cas9 Carpentier Doudna Genome Edi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9" descr="Helmholtz Wissenschaftscomic Molekularbiologie CRISPR Cas9 Carpentier Doudna Genome Editing"/>
                    <pic:cNvPicPr>
                      <a:picLocks noChangeAspect="1"/>
                    </pic:cNvPicPr>
                  </pic:nvPicPr>
                  <pic:blipFill>
                    <a:blip r:embed="rId12"/>
                    <a:stretch/>
                  </pic:blipFill>
                  <pic:spPr bwMode="auto">
                    <a:xfrm>
                      <a:off x="0" y="0"/>
                      <a:ext cx="5760720" cy="775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de-DE"/>
        </w:rPr>
        <w:lastRenderedPageBreak/>
        <w:drawing>
          <wp:inline distT="0" distB="0" distL="0" distR="0" wp14:anchorId="443F55A0" wp14:editId="4CC4ADC5">
            <wp:extent cx="5760720" cy="7781713"/>
            <wp:effectExtent l="0" t="0" r="0" b="0"/>
            <wp:docPr id="5" name="Grafik 7" descr="Helmholtz Wissenschaftscomic Molekularbiologie CRISPR Cas9 Carpentier Doudna Genome Edi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1" descr="Helmholtz Wissenschaftscomic Molekularbiologie CRISPR Cas9 Carpentier Doudna Genome Editing"/>
                    <pic:cNvPicPr>
                      <a:picLocks noChangeAspect="1"/>
                    </pic:cNvPicPr>
                  </pic:nvPicPr>
                  <pic:blipFill>
                    <a:blip r:embed="rId13"/>
                    <a:stretch/>
                  </pic:blipFill>
                  <pic:spPr bwMode="auto">
                    <a:xfrm>
                      <a:off x="0" y="0"/>
                      <a:ext cx="5760720" cy="7781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A2B0A" w14:textId="77777777" w:rsidR="00B346AD" w:rsidRDefault="00782924">
      <w:pPr>
        <w:spacing w:after="0"/>
      </w:pPr>
      <w:r>
        <w:t xml:space="preserve">Quelle: </w:t>
      </w:r>
    </w:p>
    <w:p w14:paraId="73A20D00" w14:textId="77777777" w:rsidR="00B346AD" w:rsidRDefault="00782924">
      <w:pPr>
        <w:spacing w:after="0"/>
      </w:pPr>
      <w:r>
        <w:rPr>
          <w:rFonts w:ascii="Arial" w:eastAsia="Times New Roman" w:hAnsi="Arial" w:cs="Arial"/>
          <w:i/>
          <w:iCs/>
          <w:color w:val="333333"/>
          <w:sz w:val="18"/>
          <w:szCs w:val="18"/>
          <w:shd w:val="clear" w:color="auto" w:fill="FFFFFF"/>
          <w:lang w:eastAsia="de-DE"/>
        </w:rPr>
        <w:t>Helmholtz-Wissenschaftscomic No.30 | Bilder: Veronika Mischitz/Helmholtz-Gemeinschaft, CC-BY-ND 4.0</w:t>
      </w:r>
    </w:p>
    <w:p w14:paraId="2AD9A845" w14:textId="77777777" w:rsidR="00B346AD" w:rsidRDefault="00D8603A">
      <w:pPr>
        <w:spacing w:after="0"/>
        <w:rPr>
          <w:sz w:val="20"/>
          <w:szCs w:val="20"/>
        </w:rPr>
      </w:pPr>
      <w:hyperlink r:id="rId14" w:tooltip="https://blogs.helmholtz.de/augenspiegel/2016/07/klar-soweit-no-30/" w:history="1">
        <w:r w:rsidR="00782924">
          <w:rPr>
            <w:rStyle w:val="Hyperlink"/>
            <w:sz w:val="20"/>
            <w:szCs w:val="20"/>
          </w:rPr>
          <w:t>https://blogs.helmholtz.de/augenspiegel/2016/07/klar-soweit-no-30/</w:t>
        </w:r>
      </w:hyperlink>
      <w:r w:rsidR="00782924">
        <w:rPr>
          <w:sz w:val="20"/>
          <w:szCs w:val="20"/>
        </w:rPr>
        <w:t xml:space="preserve"> </w:t>
      </w:r>
    </w:p>
    <w:sectPr w:rsidR="00B346AD">
      <w:headerReference w:type="default" r:id="rId15"/>
      <w:footerReference w:type="default" r:id="rId16"/>
      <w:pgSz w:w="11906" w:h="16838"/>
      <w:pgMar w:top="1418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80DC12" w14:textId="77777777" w:rsidR="00D8603A" w:rsidRDefault="00D8603A">
      <w:pPr>
        <w:spacing w:after="0" w:line="240" w:lineRule="auto"/>
      </w:pPr>
      <w:r>
        <w:separator/>
      </w:r>
    </w:p>
  </w:endnote>
  <w:endnote w:type="continuationSeparator" w:id="0">
    <w:p w14:paraId="19E7F2F8" w14:textId="77777777" w:rsidR="00D8603A" w:rsidRDefault="00D860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82265880"/>
      <w:docPartObj>
        <w:docPartGallery w:val="Page Numbers (Bottom of Page)"/>
        <w:docPartUnique/>
      </w:docPartObj>
    </w:sdtPr>
    <w:sdtEndPr/>
    <w:sdtContent>
      <w:p w14:paraId="23519DDF" w14:textId="2ED0D5E3" w:rsidR="00B346AD" w:rsidRDefault="00782924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2313">
          <w:rPr>
            <w:noProof/>
          </w:rPr>
          <w:t>1</w:t>
        </w:r>
        <w:r>
          <w:fldChar w:fldCharType="end"/>
        </w:r>
      </w:p>
    </w:sdtContent>
  </w:sdt>
  <w:p w14:paraId="0D223D98" w14:textId="77777777" w:rsidR="00B346AD" w:rsidRDefault="00B346A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39EAB0" w14:textId="77777777" w:rsidR="00D8603A" w:rsidRDefault="00D8603A">
      <w:pPr>
        <w:spacing w:after="0" w:line="240" w:lineRule="auto"/>
      </w:pPr>
      <w:r>
        <w:separator/>
      </w:r>
    </w:p>
  </w:footnote>
  <w:footnote w:type="continuationSeparator" w:id="0">
    <w:p w14:paraId="56DBAA4D" w14:textId="77777777" w:rsidR="00D8603A" w:rsidRDefault="00D860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91D9E3" w14:textId="32F5837D" w:rsidR="00B346AD" w:rsidRDefault="00952313">
    <w:pPr>
      <w:pStyle w:val="Kopfzeile"/>
      <w:rPr>
        <w:b/>
      </w:rPr>
    </w:pPr>
    <w:r>
      <w:rPr>
        <w:b/>
      </w:rPr>
      <w:t xml:space="preserve">Gruppe: Wie funktioniert die </w:t>
    </w:r>
    <w:r w:rsidR="00782924">
      <w:rPr>
        <w:b/>
      </w:rPr>
      <w:t>Genschere (CRISPR/Cas</w:t>
    </w:r>
    <w:r>
      <w:rPr>
        <w:b/>
      </w:rPr>
      <w:t>9</w:t>
    </w:r>
    <w:r w:rsidR="00782924">
      <w:rPr>
        <w:b/>
      </w:rPr>
      <w:t>)?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A21285"/>
    <w:multiLevelType w:val="hybridMultilevel"/>
    <w:tmpl w:val="5CE665FE"/>
    <w:lvl w:ilvl="0" w:tplc="2CB228A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E40AEE2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27EC4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721A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58EC1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0101B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1AC5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A4E166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765E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6AD"/>
    <w:rsid w:val="00782924"/>
    <w:rsid w:val="00920FBE"/>
    <w:rsid w:val="00952313"/>
    <w:rsid w:val="00B346AD"/>
    <w:rsid w:val="00D8603A"/>
    <w:rsid w:val="00E03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92049B"/>
  <w15:docId w15:val="{B5917D89-934B-4FED-94FD-E6417B2BA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de-DE" w:eastAsia="en-US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berschrift3">
    <w:name w:val="heading 3"/>
    <w:basedOn w:val="Standard"/>
    <w:link w:val="berschrift3Zchn"/>
    <w:uiPriority w:val="9"/>
    <w:qFormat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pPr>
      <w:keepNext/>
      <w:keepLines/>
      <w:spacing w:before="200" w:after="0"/>
      <w:outlineLvl w:val="3"/>
    </w:pPr>
    <w:rPr>
      <w:rFonts w:ascii="Cambria" w:eastAsia="Cambria" w:hAnsi="Cambria" w:cs="Cambria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Arial" w:eastAsia="Arial" w:hAnsi="Arial" w:cs="Arial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bsatz-Standardschriftar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bsatz-Standardschriftar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paragraph" w:styleId="KeinLeerraum">
    <w:name w:val="No Spacing"/>
    <w:uiPriority w:val="1"/>
    <w:qFormat/>
    <w:pPr>
      <w:spacing w:after="0" w:line="240" w:lineRule="auto"/>
    </w:pPr>
  </w:style>
  <w:style w:type="paragraph" w:styleId="Titel">
    <w:name w:val="Title"/>
    <w:basedOn w:val="Standard"/>
    <w:next w:val="Standard"/>
    <w:link w:val="TitelZchn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before="200"/>
    </w:pPr>
    <w:rPr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ind w:left="720" w:right="720"/>
    </w:pPr>
    <w:rPr>
      <w:i/>
    </w:rPr>
  </w:style>
  <w:style w:type="character" w:customStyle="1" w:styleId="ZitatZchn">
    <w:name w:val="Zitat Zchn"/>
    <w:link w:val="Zitat"/>
    <w:uiPriority w:val="29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ivesZitatZchn">
    <w:name w:val="Intensives Zitat Zchn"/>
    <w:link w:val="IntensivesZitat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paragraph" w:styleId="Beschriftung">
    <w:name w:val="caption"/>
    <w:basedOn w:val="Standard"/>
    <w:next w:val="Standard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Tabellenraster">
    <w:name w:val="Table Grid"/>
    <w:basedOn w:val="NormaleTabelle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tblPr/>
      <w:tcPr>
        <w:shd w:val="clear" w:color="auto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Gitternetztabelle1hell">
    <w:name w:val="Grid Table 1 Light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Gitternetztabelle3">
    <w:name w:val="Grid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Gitternetztabelle4">
    <w:name w:val="Grid Table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auto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CE6F2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auto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auto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auto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auto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auto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Gitternetztabelle5dunkel">
    <w:name w:val="Grid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band1Vert">
      <w:tblPr/>
      <w:tcPr>
        <w:shd w:val="clear" w:color="auto" w:fill="AEC4E0" w:themeFill="accent1" w:themeFillTint="75"/>
      </w:tcPr>
    </w:tblStylePr>
    <w:tblStylePr w:type="band1Horz">
      <w:tblPr/>
      <w:tcPr>
        <w:shd w:val="clear" w:color="auto" w:fill="AEC4E0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band1Vert">
      <w:tblPr/>
      <w:tcPr>
        <w:shd w:val="clear" w:color="auto" w:fill="E2AEAD" w:themeFill="accent2" w:themeFillTint="75"/>
      </w:tcPr>
    </w:tblStylePr>
    <w:tblStylePr w:type="band1Horz">
      <w:tblPr/>
      <w:tcPr>
        <w:shd w:val="clear" w:color="auto" w:fill="E2AEAD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band1Vert">
      <w:tblPr/>
      <w:tcPr>
        <w:shd w:val="clear" w:color="auto" w:fill="D0DFB2" w:themeFill="accent3" w:themeFillTint="75"/>
      </w:tcPr>
    </w:tblStylePr>
    <w:tblStylePr w:type="band1Horz">
      <w:tblPr/>
      <w:tcPr>
        <w:shd w:val="clear" w:color="auto" w:fill="D0DFB2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band1Vert">
      <w:tblPr/>
      <w:tcPr>
        <w:shd w:val="clear" w:color="auto" w:fill="C4B7D4" w:themeFill="accent4" w:themeFillTint="75"/>
      </w:tcPr>
    </w:tblStylePr>
    <w:tblStylePr w:type="band1Horz">
      <w:tblPr/>
      <w:tcPr>
        <w:shd w:val="clear" w:color="auto" w:fill="C4B7D4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band1Vert">
      <w:tblPr/>
      <w:tcPr>
        <w:shd w:val="clear" w:color="auto" w:fill="ACD8E4" w:themeFill="accent5" w:themeFillTint="75"/>
      </w:tcPr>
    </w:tblStylePr>
    <w:tblStylePr w:type="band1Horz">
      <w:tblPr/>
      <w:tcPr>
        <w:shd w:val="clear" w:color="auto" w:fill="ACD8E4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band1Vert">
      <w:tblPr/>
      <w:tcPr>
        <w:shd w:val="clear" w:color="auto" w:fill="FBCEAA" w:themeFill="accent6" w:themeFillTint="75"/>
      </w:tcPr>
    </w:tblStylePr>
    <w:tblStylePr w:type="band1Horz">
      <w:tblPr/>
      <w:tcPr>
        <w:shd w:val="clear" w:color="auto" w:fill="FBCEAA" w:themeFill="accent6" w:themeFillTint="75"/>
      </w:tcPr>
    </w:tblStylePr>
  </w:style>
  <w:style w:type="table" w:styleId="Gritternetztabelle6farbig">
    <w:name w:val="Grid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Gritternetztabelle7farbig">
    <w:name w:val="Grid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tblPr/>
      <w:tcPr>
        <w:shd w:val="clear" w:color="auto" w:fill="D2DFEE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tblPr/>
      <w:tcPr>
        <w:shd w:val="clear" w:color="auto" w:fill="EFD2D2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tblPr/>
      <w:tcPr>
        <w:shd w:val="clear" w:color="auto" w:fill="E5EED5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tblPr/>
      <w:tcPr>
        <w:shd w:val="clear" w:color="auto" w:fill="DFD8E7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tblPr/>
      <w:tcPr>
        <w:shd w:val="clear" w:color="auto" w:fill="D1EAF0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tblPr/>
      <w:tcPr>
        <w:shd w:val="clear" w:color="auto" w:fill="FDE4D0" w:themeFill="accent6" w:themeFillTint="40"/>
      </w:tcPr>
    </w:tblStylePr>
  </w:style>
  <w:style w:type="table" w:styleId="Listentabelle2">
    <w:name w:val="List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styleId="Listentabelle3">
    <w:name w:val="List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styleId="Listentabelle5dunkel">
    <w:name w:val="List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auto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auto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auto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auto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auto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auto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auto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auto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auto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auto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auto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auto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</w:style>
  <w:style w:type="table" w:styleId="Listentabelle6farbig">
    <w:name w:val="List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Bordered">
    <w:name w:val="Bordered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paragraph" w:styleId="StandardWeb">
    <w:name w:val="Normal (Web)"/>
    <w:basedOn w:val="Standard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Pr>
      <w:color w:val="0000FF" w:themeColor="hyperlink"/>
      <w:u w:val="singl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Pr>
      <w:rFonts w:ascii="Cambria" w:eastAsia="Cambria" w:hAnsi="Cambria" w:cs="Cambria"/>
      <w:b/>
      <w:bCs/>
      <w:i/>
      <w:iCs/>
      <w:color w:val="4F81BD" w:themeColor="accent1"/>
    </w:rPr>
  </w:style>
  <w:style w:type="character" w:customStyle="1" w:styleId="mw-headline">
    <w:name w:val="mw-headline"/>
    <w:basedOn w:val="Absatz-Standardschriftart"/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flanzenforschung.de/de/mediathek/bilder-und-infografiken" TargetMode="External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hyperlink" Target="https://unterrichten.zum.de/wiki/Gene_Editing" TargetMode="External"/><Relationship Id="rId14" Type="http://schemas.openxmlformats.org/officeDocument/2006/relationships/hyperlink" Target="https://blogs.helmholtz.de/augenspiegel/2016/07/klar-soweit-no-30/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Larissa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331</Words>
  <Characters>2091</Characters>
  <Application>Microsoft Office Word</Application>
  <DocSecurity>0</DocSecurity>
  <Lines>17</Lines>
  <Paragraphs>4</Paragraphs>
  <ScaleCrop>false</ScaleCrop>
  <Company/>
  <LinksUpToDate>false</LinksUpToDate>
  <CharactersWithSpaces>2418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Margret</dc:creator>
  <cp:lastModifiedBy>brodkorb</cp:lastModifiedBy>
  <cp:revision>8</cp:revision>
  <dcterms:created xsi:type="dcterms:W3CDTF">2019-10-25T05:39:00Z</dcterms:created>
  <dcterms:modified xsi:type="dcterms:W3CDTF">2021-01-12T09:49:00Z</dcterms:modified>
</cp:coreProperties>
</file>