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2180"/>
        <w:gridCol w:w="2180"/>
        <w:gridCol w:w="3180"/>
      </w:tblGrid>
      <w:tr>
        <w:trPr>
          <w:trHeight w:val="1060" w:hRule="atLeast"/>
        </w:trPr>
        <w:tc>
          <w:tcPr>
            <w:tcW w:w="2768" w:type="dxa"/>
          </w:tcPr>
          <w:p>
            <w:pPr>
              <w:pStyle w:val="TableParagraph"/>
              <w:spacing w:before="9"/>
              <w:rPr>
                <w:rFonts w:ascii="Times New Roman"/>
                <w:sz w:val="25"/>
              </w:rPr>
            </w:pPr>
          </w:p>
          <w:p>
            <w:pPr>
              <w:pStyle w:val="TableParagraph"/>
              <w:ind w:left="409" w:hanging="190"/>
              <w:rPr>
                <w:sz w:val="20"/>
              </w:rPr>
            </w:pPr>
            <w:r>
              <w:rPr>
                <w:sz w:val="20"/>
              </w:rPr>
              <w:t>Diskursprojekt GenomEdit Unterrichtsmaterialien</w:t>
            </w:r>
          </w:p>
        </w:tc>
        <w:tc>
          <w:tcPr>
            <w:tcW w:w="4360" w:type="dxa"/>
            <w:gridSpan w:val="2"/>
          </w:tcPr>
          <w:p>
            <w:pPr>
              <w:pStyle w:val="TableParagraph"/>
              <w:spacing w:before="43"/>
              <w:ind w:left="365" w:right="361" w:hanging="4"/>
              <w:jc w:val="center"/>
              <w:rPr>
                <w:b/>
                <w:sz w:val="28"/>
              </w:rPr>
            </w:pPr>
            <w:r>
              <w:rPr>
                <w:b/>
                <w:sz w:val="28"/>
              </w:rPr>
              <w:t>Wie ist der Umgang mit Embryonen in</w:t>
            </w:r>
            <w:r>
              <w:rPr>
                <w:b/>
                <w:spacing w:val="-15"/>
                <w:sz w:val="28"/>
              </w:rPr>
              <w:t> </w:t>
            </w:r>
            <w:r>
              <w:rPr>
                <w:b/>
                <w:sz w:val="28"/>
              </w:rPr>
              <w:t>Deutschland gesetzlich</w:t>
            </w:r>
            <w:r>
              <w:rPr>
                <w:b/>
                <w:spacing w:val="-16"/>
                <w:sz w:val="28"/>
              </w:rPr>
              <w:t> </w:t>
            </w:r>
            <w:r>
              <w:rPr>
                <w:b/>
                <w:sz w:val="28"/>
              </w:rPr>
              <w:t>geregelt?</w:t>
            </w:r>
          </w:p>
        </w:tc>
        <w:tc>
          <w:tcPr>
            <w:tcW w:w="3180" w:type="dxa"/>
          </w:tcPr>
          <w:p>
            <w:pPr>
              <w:pStyle w:val="TableParagraph"/>
              <w:spacing w:before="4"/>
              <w:rPr>
                <w:rFonts w:ascii="Times New Roman"/>
                <w:sz w:val="4"/>
              </w:rPr>
            </w:pPr>
          </w:p>
          <w:p>
            <w:pPr>
              <w:pStyle w:val="TableParagraph"/>
              <w:ind w:left="314"/>
              <w:rPr>
                <w:rFonts w:ascii="Times New Roman"/>
                <w:sz w:val="20"/>
              </w:rPr>
            </w:pPr>
            <w:r>
              <w:rPr>
                <w:rFonts w:ascii="Times New Roman"/>
                <w:sz w:val="20"/>
              </w:rPr>
              <w:drawing>
                <wp:inline distT="0" distB="0" distL="0" distR="0">
                  <wp:extent cx="1651895" cy="61722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51895" cy="617220"/>
                          </a:xfrm>
                          <a:prstGeom prst="rect">
                            <a:avLst/>
                          </a:prstGeom>
                        </pic:spPr>
                      </pic:pic>
                    </a:graphicData>
                  </a:graphic>
                </wp:inline>
              </w:drawing>
            </w:r>
            <w:r>
              <w:rPr>
                <w:rFonts w:ascii="Times New Roman"/>
                <w:sz w:val="20"/>
              </w:rPr>
            </w:r>
          </w:p>
        </w:tc>
      </w:tr>
      <w:tr>
        <w:trPr>
          <w:trHeight w:val="540" w:hRule="atLeast"/>
        </w:trPr>
        <w:tc>
          <w:tcPr>
            <w:tcW w:w="2768" w:type="dxa"/>
          </w:tcPr>
          <w:p>
            <w:pPr>
              <w:pStyle w:val="TableParagraph"/>
              <w:spacing w:before="156"/>
              <w:ind w:left="105"/>
              <w:rPr>
                <w:sz w:val="20"/>
              </w:rPr>
            </w:pPr>
            <w:r>
              <w:rPr>
                <w:b/>
                <w:sz w:val="20"/>
              </w:rPr>
              <w:t>Autor</w:t>
            </w:r>
            <w:r>
              <w:rPr>
                <w:sz w:val="20"/>
              </w:rPr>
              <w:t>: Sophia Gerber</w:t>
            </w:r>
          </w:p>
        </w:tc>
        <w:tc>
          <w:tcPr>
            <w:tcW w:w="2180" w:type="dxa"/>
          </w:tcPr>
          <w:p>
            <w:pPr>
              <w:pStyle w:val="TableParagraph"/>
              <w:spacing w:before="156"/>
              <w:ind w:left="105"/>
              <w:rPr>
                <w:sz w:val="20"/>
              </w:rPr>
            </w:pPr>
            <w:r>
              <w:rPr>
                <w:b/>
                <w:sz w:val="20"/>
              </w:rPr>
              <w:t>Fach</w:t>
            </w:r>
            <w:r>
              <w:rPr>
                <w:sz w:val="20"/>
              </w:rPr>
              <w:t>: Ethik</w:t>
            </w:r>
          </w:p>
        </w:tc>
        <w:tc>
          <w:tcPr>
            <w:tcW w:w="2180" w:type="dxa"/>
          </w:tcPr>
          <w:p>
            <w:pPr>
              <w:pStyle w:val="TableParagraph"/>
              <w:spacing w:before="156"/>
              <w:ind w:left="105"/>
              <w:rPr>
                <w:sz w:val="20"/>
              </w:rPr>
            </w:pPr>
            <w:r>
              <w:rPr>
                <w:b/>
                <w:sz w:val="20"/>
              </w:rPr>
              <w:t>Klasse</w:t>
            </w:r>
            <w:r>
              <w:rPr>
                <w:sz w:val="20"/>
              </w:rPr>
              <w:t>: 10</w:t>
            </w:r>
          </w:p>
        </w:tc>
        <w:tc>
          <w:tcPr>
            <w:tcW w:w="3180" w:type="dxa"/>
          </w:tcPr>
          <w:p>
            <w:pPr>
              <w:pStyle w:val="TableParagraph"/>
              <w:spacing w:before="156"/>
              <w:ind w:left="105"/>
              <w:rPr>
                <w:sz w:val="20"/>
              </w:rPr>
            </w:pPr>
            <w:r>
              <w:rPr>
                <w:sz w:val="20"/>
              </w:rPr>
              <w:t>Blatt Nr.: 1 / 3</w:t>
            </w:r>
          </w:p>
        </w:tc>
      </w:tr>
    </w:tbl>
    <w:p>
      <w:pPr>
        <w:pStyle w:val="BodyText"/>
        <w:spacing w:before="1"/>
        <w:rPr>
          <w:rFonts w:ascii="Times New Roman"/>
          <w:sz w:val="21"/>
        </w:rPr>
      </w:pPr>
      <w:r>
        <w:rPr/>
        <w:pict>
          <v:shapetype id="_x0000_t202" o:spt="202" coordsize="21600,21600" path="m,l,21600r21600,l21600,xe">
            <v:stroke joinstyle="miter"/>
            <v:path gradientshapeok="t" o:connecttype="rect"/>
          </v:shapetype>
          <v:shape style="position:absolute;margin-left:70.849998pt;margin-top:13.361pt;width:496.1pt;height:96.6pt;mso-position-horizontal-relative:page;mso-position-vertical-relative:paragraph;z-index:0;mso-wrap-distance-left:0;mso-wrap-distance-right:0" type="#_x0000_t202" filled="true" fillcolor="#bfbfbf" stroked="false">
            <v:textbox inset="0,0,0,0">
              <w:txbxContent>
                <w:p>
                  <w:pPr>
                    <w:spacing w:before="0"/>
                    <w:ind w:left="3" w:right="0" w:firstLine="0"/>
                    <w:jc w:val="left"/>
                    <w:rPr>
                      <w:b/>
                      <w:sz w:val="24"/>
                    </w:rPr>
                  </w:pPr>
                  <w:r>
                    <w:rPr>
                      <w:b/>
                      <w:sz w:val="24"/>
                    </w:rPr>
                    <w:t>Aufgaben</w:t>
                  </w:r>
                </w:p>
                <w:p>
                  <w:pPr>
                    <w:pStyle w:val="BodyText"/>
                    <w:rPr>
                      <w:rFonts w:ascii="Times New Roman"/>
                    </w:rPr>
                  </w:pPr>
                </w:p>
                <w:p>
                  <w:pPr>
                    <w:pStyle w:val="ListParagraph"/>
                    <w:numPr>
                      <w:ilvl w:val="0"/>
                      <w:numId w:val="1"/>
                    </w:numPr>
                    <w:tabs>
                      <w:tab w:pos="287" w:val="left" w:leader="none"/>
                    </w:tabs>
                    <w:spacing w:line="240" w:lineRule="auto" w:before="0" w:after="0"/>
                    <w:ind w:left="287" w:right="0" w:hanging="284"/>
                    <w:jc w:val="left"/>
                    <w:rPr>
                      <w:sz w:val="24"/>
                    </w:rPr>
                  </w:pPr>
                  <w:r>
                    <w:rPr>
                      <w:sz w:val="24"/>
                    </w:rPr>
                    <w:t>Kreuze</w:t>
                  </w:r>
                  <w:r>
                    <w:rPr>
                      <w:spacing w:val="55"/>
                      <w:sz w:val="24"/>
                    </w:rPr>
                    <w:t> </w:t>
                  </w:r>
                  <w:r>
                    <w:rPr>
                      <w:sz w:val="24"/>
                    </w:rPr>
                    <w:t>an,</w:t>
                  </w:r>
                  <w:r>
                    <w:rPr>
                      <w:spacing w:val="55"/>
                      <w:sz w:val="24"/>
                    </w:rPr>
                    <w:t> </w:t>
                  </w:r>
                  <w:r>
                    <w:rPr>
                      <w:sz w:val="24"/>
                    </w:rPr>
                    <w:t>was</w:t>
                  </w:r>
                  <w:r>
                    <w:rPr>
                      <w:spacing w:val="55"/>
                      <w:sz w:val="24"/>
                    </w:rPr>
                    <w:t> </w:t>
                  </w:r>
                  <w:r>
                    <w:rPr>
                      <w:sz w:val="24"/>
                    </w:rPr>
                    <w:t>im</w:t>
                  </w:r>
                  <w:r>
                    <w:rPr>
                      <w:spacing w:val="57"/>
                      <w:sz w:val="24"/>
                    </w:rPr>
                    <w:t> </w:t>
                  </w:r>
                  <w:r>
                    <w:rPr>
                      <w:sz w:val="24"/>
                    </w:rPr>
                    <w:t>Umgang</w:t>
                  </w:r>
                  <w:r>
                    <w:rPr>
                      <w:spacing w:val="56"/>
                      <w:sz w:val="24"/>
                    </w:rPr>
                    <w:t> </w:t>
                  </w:r>
                  <w:r>
                    <w:rPr>
                      <w:sz w:val="24"/>
                    </w:rPr>
                    <w:t>mit</w:t>
                  </w:r>
                  <w:r>
                    <w:rPr>
                      <w:spacing w:val="55"/>
                      <w:sz w:val="24"/>
                    </w:rPr>
                    <w:t> </w:t>
                  </w:r>
                  <w:r>
                    <w:rPr>
                      <w:sz w:val="24"/>
                    </w:rPr>
                    <w:t>Embryonen</w:t>
                  </w:r>
                  <w:r>
                    <w:rPr>
                      <w:spacing w:val="61"/>
                      <w:sz w:val="24"/>
                    </w:rPr>
                    <w:t> </w:t>
                  </w:r>
                  <w:r>
                    <w:rPr>
                      <w:sz w:val="24"/>
                    </w:rPr>
                    <w:t>in</w:t>
                  </w:r>
                  <w:r>
                    <w:rPr>
                      <w:spacing w:val="56"/>
                      <w:sz w:val="24"/>
                    </w:rPr>
                    <w:t> </w:t>
                  </w:r>
                  <w:r>
                    <w:rPr>
                      <w:sz w:val="24"/>
                    </w:rPr>
                    <w:t>Deutschland</w:t>
                  </w:r>
                  <w:r>
                    <w:rPr>
                      <w:spacing w:val="56"/>
                      <w:sz w:val="24"/>
                    </w:rPr>
                    <w:t> </w:t>
                  </w:r>
                  <w:r>
                    <w:rPr>
                      <w:sz w:val="24"/>
                    </w:rPr>
                    <w:t>erlaubt</w:t>
                  </w:r>
                  <w:r>
                    <w:rPr>
                      <w:spacing w:val="55"/>
                      <w:sz w:val="24"/>
                    </w:rPr>
                    <w:t> </w:t>
                  </w:r>
                  <w:r>
                    <w:rPr>
                      <w:sz w:val="24"/>
                    </w:rPr>
                    <w:t>und</w:t>
                  </w:r>
                  <w:r>
                    <w:rPr>
                      <w:spacing w:val="55"/>
                      <w:sz w:val="24"/>
                    </w:rPr>
                    <w:t> </w:t>
                  </w:r>
                  <w:r>
                    <w:rPr>
                      <w:sz w:val="24"/>
                    </w:rPr>
                    <w:t>verboten</w:t>
                  </w:r>
                  <w:r>
                    <w:rPr>
                      <w:spacing w:val="55"/>
                      <w:sz w:val="24"/>
                    </w:rPr>
                    <w:t> </w:t>
                  </w:r>
                  <w:r>
                    <w:rPr>
                      <w:sz w:val="24"/>
                    </w:rPr>
                    <w:t>ist.</w:t>
                  </w:r>
                </w:p>
                <w:p>
                  <w:pPr>
                    <w:spacing w:before="0"/>
                    <w:ind w:left="287" w:right="0" w:firstLine="0"/>
                    <w:jc w:val="left"/>
                    <w:rPr>
                      <w:sz w:val="24"/>
                    </w:rPr>
                  </w:pPr>
                  <w:r>
                    <w:rPr>
                      <w:b/>
                      <w:sz w:val="24"/>
                    </w:rPr>
                    <w:t>Nenne </w:t>
                  </w:r>
                  <w:r>
                    <w:rPr>
                      <w:sz w:val="24"/>
                    </w:rPr>
                    <w:t>den entsprechenden Paragraphen (</w:t>
                  </w:r>
                  <w:r>
                    <w:rPr>
                      <w:b/>
                      <w:sz w:val="24"/>
                    </w:rPr>
                    <w:t>M1</w:t>
                  </w:r>
                  <w:r>
                    <w:rPr>
                      <w:sz w:val="24"/>
                    </w:rPr>
                    <w:t>/</w:t>
                  </w:r>
                  <w:r>
                    <w:rPr>
                      <w:b/>
                      <w:sz w:val="24"/>
                    </w:rPr>
                    <w:t>M2</w:t>
                  </w:r>
                  <w:r>
                    <w:rPr>
                      <w:sz w:val="24"/>
                    </w:rPr>
                    <w:t>).</w:t>
                  </w:r>
                </w:p>
                <w:p>
                  <w:pPr>
                    <w:pStyle w:val="ListParagraph"/>
                    <w:numPr>
                      <w:ilvl w:val="0"/>
                      <w:numId w:val="1"/>
                    </w:numPr>
                    <w:tabs>
                      <w:tab w:pos="287" w:val="left" w:leader="none"/>
                    </w:tabs>
                    <w:spacing w:line="240" w:lineRule="auto" w:before="0" w:after="0"/>
                    <w:ind w:left="287" w:right="10" w:hanging="284"/>
                    <w:jc w:val="both"/>
                    <w:rPr>
                      <w:sz w:val="24"/>
                    </w:rPr>
                  </w:pPr>
                  <w:r>
                    <w:rPr>
                      <w:sz w:val="24"/>
                      <w:u w:val="single"/>
                    </w:rPr>
                    <w:t>Zusatzaufgabe</w:t>
                  </w:r>
                  <w:r>
                    <w:rPr>
                      <w:sz w:val="24"/>
                    </w:rPr>
                    <w:t>: </w:t>
                  </w:r>
                  <w:r>
                    <w:rPr>
                      <w:b/>
                      <w:sz w:val="24"/>
                    </w:rPr>
                    <w:t>Begründe</w:t>
                  </w:r>
                  <w:r>
                    <w:rPr>
                      <w:sz w:val="24"/>
                    </w:rPr>
                    <w:t>, welcher Umgang mit Embryonen nach Reinhard Löw und Peter Singer (Baustein 5) oder Jürgen Habermas und Julian Savulescu (Baustein 10) ethisch vertretbar</w:t>
                  </w:r>
                  <w:r>
                    <w:rPr>
                      <w:spacing w:val="-7"/>
                      <w:sz w:val="24"/>
                    </w:rPr>
                    <w:t> </w:t>
                  </w:r>
                  <w:r>
                    <w:rPr>
                      <w:sz w:val="24"/>
                    </w:rPr>
                    <w:t>wäre.</w:t>
                  </w:r>
                </w:p>
              </w:txbxContent>
            </v:textbox>
            <v:fill type="solid"/>
            <w10:wrap type="topAndBottom"/>
          </v:shape>
        </w:pict>
      </w:r>
    </w:p>
    <w:p>
      <w:pPr>
        <w:pStyle w:val="BodyText"/>
        <w:rPr>
          <w:rFonts w:ascii="Times New Roman"/>
          <w:sz w:val="20"/>
        </w:rPr>
      </w:pPr>
    </w:p>
    <w:p>
      <w:pPr>
        <w:pStyle w:val="BodyText"/>
        <w:spacing w:before="1"/>
        <w:rPr>
          <w:rFonts w:ascii="Times New Roman"/>
          <w:sz w:val="29"/>
        </w:rPr>
      </w:pPr>
    </w:p>
    <w:p>
      <w:pPr>
        <w:pStyle w:val="Heading1"/>
      </w:pPr>
      <w:r>
        <w:rPr/>
        <w:t>M1 Embryonenschutzgesetz</w:t>
      </w:r>
    </w:p>
    <w:p>
      <w:pPr>
        <w:pStyle w:val="BodyText"/>
        <w:spacing w:before="10"/>
        <w:rPr>
          <w:b/>
          <w:sz w:val="15"/>
        </w:rPr>
      </w:pPr>
    </w:p>
    <w:p>
      <w:pPr>
        <w:spacing w:before="93"/>
        <w:ind w:left="380" w:right="265" w:firstLine="0"/>
        <w:jc w:val="both"/>
        <w:rPr>
          <w:i/>
          <w:sz w:val="24"/>
        </w:rPr>
      </w:pPr>
      <w:r>
        <w:rPr>
          <w:i/>
          <w:sz w:val="24"/>
        </w:rPr>
        <w:t>Das Embryonenschutzgesetz regelt die künstliche Befruchtung und den Umgang und die </w:t>
      </w:r>
      <w:r>
        <w:rPr>
          <w:i/>
          <w:sz w:val="24"/>
        </w:rPr>
        <w:t>Forschung mit den dabei erzeugten Embryonen. Es bezweckt die Abwägung von Menschenwürde und Leben gegenüber Interessen der Forschung und Wissenschaft.</w:t>
      </w:r>
    </w:p>
    <w:p>
      <w:pPr>
        <w:pStyle w:val="BodyText"/>
        <w:spacing w:before="9"/>
        <w:rPr>
          <w:i/>
          <w:sz w:val="20"/>
        </w:rPr>
      </w:pPr>
    </w:p>
    <w:p>
      <w:pPr>
        <w:spacing w:line="273" w:lineRule="exact" w:before="93"/>
        <w:ind w:left="886" w:right="0" w:firstLine="0"/>
        <w:jc w:val="both"/>
        <w:rPr>
          <w:i/>
          <w:sz w:val="24"/>
        </w:rPr>
      </w:pPr>
      <w:r>
        <w:rPr>
          <w:i/>
          <w:sz w:val="24"/>
        </w:rPr>
        <w:t>§ 2 Missbräuchliche Verwendung menschlicher Embryonen</w:t>
      </w:r>
    </w:p>
    <w:p>
      <w:pPr>
        <w:pStyle w:val="ListParagraph"/>
        <w:numPr>
          <w:ilvl w:val="0"/>
          <w:numId w:val="2"/>
        </w:numPr>
        <w:tabs>
          <w:tab w:pos="1250" w:val="left" w:leader="none"/>
        </w:tabs>
        <w:spacing w:line="240" w:lineRule="auto" w:before="0" w:after="0"/>
        <w:ind w:left="886" w:right="310" w:firstLine="0"/>
        <w:jc w:val="both"/>
        <w:rPr>
          <w:sz w:val="24"/>
        </w:rPr>
      </w:pPr>
      <w:r>
        <w:rPr>
          <w:sz w:val="24"/>
        </w:rPr>
        <w:t>Wer einen extrakorporal</w:t>
      </w:r>
      <w:hyperlink w:history="true" w:anchor="_bookmark0">
        <w:r>
          <w:rPr>
            <w:position w:val="10"/>
            <w:sz w:val="14"/>
          </w:rPr>
          <w:t>1</w:t>
        </w:r>
      </w:hyperlink>
      <w:r>
        <w:rPr>
          <w:position w:val="10"/>
          <w:sz w:val="14"/>
        </w:rPr>
        <w:t> </w:t>
      </w:r>
      <w:r>
        <w:rPr>
          <w:sz w:val="24"/>
        </w:rPr>
        <w:t>erzeugten oder einer Frau vor Abschluss seiner Einnistung in der Gebärmutter entnommenen menschlichen Embryo veräußert oder zu einem nicht seiner  </w:t>
      </w:r>
      <w:r>
        <w:rPr>
          <w:spacing w:val="18"/>
          <w:sz w:val="24"/>
        </w:rPr>
        <w:t> </w:t>
      </w:r>
      <w:r>
        <w:rPr>
          <w:sz w:val="24"/>
        </w:rPr>
        <w:t>Erhaltung  </w:t>
      </w:r>
      <w:r>
        <w:rPr>
          <w:spacing w:val="18"/>
          <w:sz w:val="24"/>
        </w:rPr>
        <w:t> </w:t>
      </w:r>
      <w:r>
        <w:rPr>
          <w:sz w:val="24"/>
        </w:rPr>
        <w:t>dienenden  </w:t>
      </w:r>
      <w:r>
        <w:rPr>
          <w:spacing w:val="18"/>
          <w:sz w:val="24"/>
        </w:rPr>
        <w:t> </w:t>
      </w:r>
      <w:r>
        <w:rPr>
          <w:sz w:val="24"/>
        </w:rPr>
        <w:t>Zweck  </w:t>
      </w:r>
      <w:r>
        <w:rPr>
          <w:spacing w:val="18"/>
          <w:sz w:val="24"/>
        </w:rPr>
        <w:t> </w:t>
      </w:r>
      <w:r>
        <w:rPr>
          <w:sz w:val="24"/>
        </w:rPr>
        <w:t>abgibt,  </w:t>
      </w:r>
      <w:r>
        <w:rPr>
          <w:spacing w:val="17"/>
          <w:sz w:val="24"/>
        </w:rPr>
        <w:t> </w:t>
      </w:r>
      <w:r>
        <w:rPr>
          <w:sz w:val="24"/>
        </w:rPr>
        <w:t>erwirbt  </w:t>
      </w:r>
      <w:r>
        <w:rPr>
          <w:spacing w:val="17"/>
          <w:sz w:val="24"/>
        </w:rPr>
        <w:t> </w:t>
      </w:r>
      <w:r>
        <w:rPr>
          <w:sz w:val="24"/>
        </w:rPr>
        <w:t>oder  </w:t>
      </w:r>
      <w:r>
        <w:rPr>
          <w:spacing w:val="16"/>
          <w:sz w:val="24"/>
        </w:rPr>
        <w:t> </w:t>
      </w:r>
      <w:r>
        <w:rPr>
          <w:sz w:val="24"/>
        </w:rPr>
        <w:t>verwendet,  </w:t>
      </w:r>
      <w:r>
        <w:rPr>
          <w:spacing w:val="17"/>
          <w:sz w:val="24"/>
        </w:rPr>
        <w:t> </w:t>
      </w:r>
      <w:r>
        <w:rPr>
          <w:sz w:val="24"/>
        </w:rPr>
        <w:t>wird  </w:t>
      </w:r>
      <w:r>
        <w:rPr>
          <w:spacing w:val="16"/>
          <w:sz w:val="24"/>
        </w:rPr>
        <w:t> </w:t>
      </w:r>
      <w:r>
        <w:rPr>
          <w:sz w:val="24"/>
        </w:rPr>
        <w:t>mit</w:t>
      </w:r>
    </w:p>
    <w:p>
      <w:pPr>
        <w:pStyle w:val="BodyText"/>
        <w:tabs>
          <w:tab w:pos="885" w:val="left" w:leader="none"/>
        </w:tabs>
        <w:spacing w:before="3"/>
        <w:ind w:left="435"/>
      </w:pPr>
      <w:r>
        <w:rPr/>
        <w:t>5</w:t>
        <w:tab/>
        <w:t>Freiheitsstrafe bis zu drei Jahren oder mit Geldstrafe</w:t>
      </w:r>
      <w:r>
        <w:rPr>
          <w:spacing w:val="-23"/>
        </w:rPr>
        <w:t> </w:t>
      </w:r>
      <w:r>
        <w:rPr/>
        <w:t>bestraft.</w:t>
      </w:r>
    </w:p>
    <w:p>
      <w:pPr>
        <w:pStyle w:val="ListParagraph"/>
        <w:numPr>
          <w:ilvl w:val="0"/>
          <w:numId w:val="2"/>
        </w:numPr>
        <w:tabs>
          <w:tab w:pos="1294" w:val="left" w:leader="none"/>
        </w:tabs>
        <w:spacing w:line="240" w:lineRule="auto" w:before="0" w:after="0"/>
        <w:ind w:left="886" w:right="308" w:firstLine="0"/>
        <w:jc w:val="both"/>
        <w:rPr>
          <w:sz w:val="24"/>
        </w:rPr>
      </w:pPr>
      <w:r>
        <w:rPr>
          <w:sz w:val="24"/>
        </w:rPr>
        <w:t>Ebenso wird bestraft, wer zu einem anderen Zweck als der Herbeiführung einer Schwangerschaft bewirkt, dass sich ein menschlicher Embryo extrakorporal weiterentwickelt.</w:t>
      </w:r>
      <w:r>
        <w:rPr>
          <w:spacing w:val="-8"/>
          <w:sz w:val="24"/>
        </w:rPr>
        <w:t> </w:t>
      </w:r>
      <w:r>
        <w:rPr>
          <w:sz w:val="24"/>
        </w:rPr>
        <w:t>[…]</w:t>
      </w:r>
    </w:p>
    <w:p>
      <w:pPr>
        <w:pStyle w:val="BodyText"/>
      </w:pPr>
    </w:p>
    <w:p>
      <w:pPr>
        <w:spacing w:before="0"/>
        <w:ind w:left="886" w:right="0" w:firstLine="0"/>
        <w:jc w:val="both"/>
        <w:rPr>
          <w:i/>
          <w:sz w:val="24"/>
        </w:rPr>
      </w:pPr>
      <w:r>
        <w:rPr>
          <w:i/>
          <w:sz w:val="24"/>
        </w:rPr>
        <w:t>§ 3 Verbotene Geschlechtswahl</w:t>
      </w:r>
    </w:p>
    <w:p>
      <w:pPr>
        <w:pStyle w:val="BodyText"/>
        <w:spacing w:line="237" w:lineRule="auto" w:before="2"/>
        <w:ind w:left="886" w:right="302" w:hanging="450"/>
        <w:jc w:val="both"/>
      </w:pPr>
      <w:r>
        <w:rPr/>
        <w:t>10 Wer es unternimmt, eine menschliche Eizelle mit einer Samenzelle künstlich zu befruchten, die nach dem in ihr enthaltenen Geschlechtschromosom ausgewählt worden ist, wird mit Freiheitsstrafe bis zu einem Jahr oder mit Geldstrafe bestraft. Dies gilt nicht, wenn die Auswahl der Samenzelle durch einen Arzt dazu dient, das Kind vor der  Erkrankung  an  einer  Muskeldystrophie  vom  Typ  Duchenne</w:t>
      </w:r>
      <w:hyperlink w:history="true" w:anchor="_bookmark1">
        <w:r>
          <w:rPr>
            <w:position w:val="10"/>
            <w:sz w:val="14"/>
          </w:rPr>
          <w:t>2</w:t>
        </w:r>
      </w:hyperlink>
      <w:r>
        <w:rPr>
          <w:position w:val="10"/>
          <w:sz w:val="14"/>
        </w:rPr>
        <w:t>   </w:t>
      </w:r>
      <w:r>
        <w:rPr/>
        <w:t>oder  einer</w:t>
      </w:r>
      <w:r>
        <w:rPr>
          <w:spacing w:val="40"/>
        </w:rPr>
        <w:t> </w:t>
      </w:r>
      <w:r>
        <w:rPr/>
        <w:t>ähnlich</w:t>
      </w:r>
    </w:p>
    <w:p>
      <w:pPr>
        <w:pStyle w:val="BodyText"/>
        <w:ind w:left="886" w:right="311" w:hanging="450"/>
        <w:jc w:val="both"/>
      </w:pPr>
      <w:r>
        <w:rPr/>
        <w:t>15 schwerwiegenden geschlechtsgebundenen Erbkrankheit zu bewahren, und  die  dem Kind drohende Erkrankung von der nach Landesrecht zuständigen Stelle als entsprechend schwerwiegend anerkannt worden ist. […]</w:t>
      </w:r>
    </w:p>
    <w:p>
      <w:pPr>
        <w:pStyle w:val="BodyText"/>
      </w:pPr>
    </w:p>
    <w:p>
      <w:pPr>
        <w:spacing w:line="273" w:lineRule="exact" w:before="0"/>
        <w:ind w:left="886" w:right="0" w:firstLine="0"/>
        <w:jc w:val="both"/>
        <w:rPr>
          <w:i/>
          <w:sz w:val="24"/>
        </w:rPr>
      </w:pPr>
      <w:r>
        <w:rPr>
          <w:i/>
          <w:sz w:val="24"/>
        </w:rPr>
        <w:t>§ 3a Präimplantationsdiagnostik; Verordnungsermächtigung</w:t>
      </w:r>
    </w:p>
    <w:p>
      <w:pPr>
        <w:pStyle w:val="ListParagraph"/>
        <w:numPr>
          <w:ilvl w:val="0"/>
          <w:numId w:val="3"/>
        </w:numPr>
        <w:tabs>
          <w:tab w:pos="1304" w:val="left" w:leader="none"/>
        </w:tabs>
        <w:spacing w:line="276" w:lineRule="exact" w:before="0" w:after="0"/>
        <w:ind w:left="886" w:right="0" w:firstLine="0"/>
        <w:jc w:val="both"/>
        <w:rPr>
          <w:sz w:val="24"/>
        </w:rPr>
      </w:pPr>
      <w:r>
        <w:rPr>
          <w:sz w:val="24"/>
        </w:rPr>
        <w:t>Wer  Zellen  eines  Embryos  in  vitro  vor  seinem  intrauterinen</w:t>
      </w:r>
      <w:hyperlink w:history="true" w:anchor="_bookmark2">
        <w:r>
          <w:rPr>
            <w:position w:val="10"/>
            <w:sz w:val="14"/>
          </w:rPr>
          <w:t>3</w:t>
        </w:r>
      </w:hyperlink>
      <w:r>
        <w:rPr>
          <w:position w:val="10"/>
          <w:sz w:val="14"/>
        </w:rPr>
        <w:t>   </w:t>
      </w:r>
      <w:r>
        <w:rPr>
          <w:sz w:val="24"/>
        </w:rPr>
        <w:t>Transfer</w:t>
      </w:r>
      <w:r>
        <w:rPr>
          <w:spacing w:val="-24"/>
          <w:sz w:val="24"/>
        </w:rPr>
        <w:t> </w:t>
      </w:r>
      <w:r>
        <w:rPr>
          <w:sz w:val="24"/>
        </w:rPr>
        <w:t>genetisch</w:t>
      </w:r>
    </w:p>
    <w:p>
      <w:pPr>
        <w:pStyle w:val="BodyText"/>
        <w:ind w:left="886" w:right="314" w:hanging="450"/>
        <w:jc w:val="both"/>
      </w:pPr>
      <w:r>
        <w:rPr/>
        <w:t>20 untersucht (Präimplantationsdiagnostik</w:t>
      </w:r>
      <w:hyperlink w:history="true" w:anchor="_bookmark3">
        <w:r>
          <w:rPr>
            <w:position w:val="10"/>
            <w:sz w:val="14"/>
          </w:rPr>
          <w:t>4</w:t>
        </w:r>
      </w:hyperlink>
      <w:r>
        <w:rPr/>
        <w:t>), wird mit Freiheitsstrafe bis zu einem Jahr oder mit Geldstrafe bestraft.</w:t>
      </w:r>
    </w:p>
    <w:p>
      <w:pPr>
        <w:pStyle w:val="ListParagraph"/>
        <w:numPr>
          <w:ilvl w:val="0"/>
          <w:numId w:val="3"/>
        </w:numPr>
        <w:tabs>
          <w:tab w:pos="1320" w:val="left" w:leader="none"/>
        </w:tabs>
        <w:spacing w:line="240" w:lineRule="auto" w:before="0" w:after="0"/>
        <w:ind w:left="886" w:right="304" w:firstLine="0"/>
        <w:jc w:val="both"/>
        <w:rPr>
          <w:sz w:val="24"/>
        </w:rPr>
      </w:pPr>
      <w:r>
        <w:rPr>
          <w:sz w:val="24"/>
        </w:rPr>
        <w:t>Besteht auf Grund der genetischen Disposition</w:t>
      </w:r>
      <w:hyperlink w:history="true" w:anchor="_bookmark4">
        <w:r>
          <w:rPr>
            <w:position w:val="10"/>
            <w:sz w:val="14"/>
          </w:rPr>
          <w:t>5</w:t>
        </w:r>
      </w:hyperlink>
      <w:r>
        <w:rPr>
          <w:position w:val="10"/>
          <w:sz w:val="14"/>
        </w:rPr>
        <w:t> </w:t>
      </w:r>
      <w:r>
        <w:rPr>
          <w:sz w:val="24"/>
        </w:rPr>
        <w:t>der Frau, von der die Eizelle stammt, oder des Mannes, von dem die Samenzelle stammt, oder von beiden für deren Nachkommen  das  hohe  Risiko  einer  schwerwiegenden  Erbkrankheit,  handelt </w:t>
      </w:r>
      <w:r>
        <w:rPr>
          <w:spacing w:val="40"/>
          <w:sz w:val="24"/>
        </w:rPr>
        <w:t> </w:t>
      </w:r>
      <w:r>
        <w:rPr>
          <w:sz w:val="24"/>
        </w:rPr>
        <w:t>nicht</w:t>
      </w:r>
    </w:p>
    <w:p>
      <w:pPr>
        <w:pStyle w:val="BodyText"/>
        <w:spacing w:before="6"/>
        <w:rPr>
          <w:sz w:val="23"/>
        </w:rPr>
      </w:pPr>
      <w:r>
        <w:rPr/>
        <w:pict>
          <v:line style="position:absolute;mso-position-horizontal-relative:page;mso-position-vertical-relative:paragraph;z-index:1048;mso-wrap-distance-left:0;mso-wrap-distance-right:0" from="70.900002pt,15.748266pt" to="194.900002pt,15.748266pt" stroked="true" strokeweight=".5pt" strokecolor="#000000">
            <v:stroke dashstyle="solid"/>
            <w10:wrap type="topAndBottom"/>
          </v:line>
        </w:pict>
      </w:r>
    </w:p>
    <w:p>
      <w:pPr>
        <w:pStyle w:val="ListParagraph"/>
        <w:numPr>
          <w:ilvl w:val="0"/>
          <w:numId w:val="4"/>
        </w:numPr>
        <w:tabs>
          <w:tab w:pos="664" w:val="left" w:leader="none"/>
        </w:tabs>
        <w:spacing w:line="240" w:lineRule="auto" w:before="28" w:after="0"/>
        <w:ind w:left="664" w:right="0" w:hanging="284"/>
        <w:jc w:val="left"/>
        <w:rPr>
          <w:sz w:val="20"/>
        </w:rPr>
      </w:pPr>
      <w:bookmarkStart w:name="_bookmark0" w:id="1"/>
      <w:bookmarkEnd w:id="1"/>
      <w:r>
        <w:rPr/>
      </w:r>
      <w:bookmarkStart w:name="_bookmark1" w:id="2"/>
      <w:bookmarkEnd w:id="2"/>
      <w:r>
        <w:rPr/>
      </w:r>
      <w:bookmarkStart w:name="_bookmark1" w:id="3"/>
      <w:bookmarkEnd w:id="3"/>
      <w:r>
        <w:rPr>
          <w:b/>
          <w:i/>
          <w:sz w:val="20"/>
        </w:rPr>
        <w:t>ex</w:t>
      </w:r>
      <w:r>
        <w:rPr>
          <w:b/>
          <w:i/>
          <w:sz w:val="20"/>
        </w:rPr>
        <w:t>trakorporal </w:t>
      </w:r>
      <w:r>
        <w:rPr>
          <w:sz w:val="20"/>
        </w:rPr>
        <w:t>= außerhalb des</w:t>
      </w:r>
      <w:r>
        <w:rPr>
          <w:spacing w:val="-22"/>
          <w:sz w:val="20"/>
        </w:rPr>
        <w:t> </w:t>
      </w:r>
      <w:r>
        <w:rPr>
          <w:sz w:val="20"/>
        </w:rPr>
        <w:t>Körpers</w:t>
      </w:r>
    </w:p>
    <w:p>
      <w:pPr>
        <w:pStyle w:val="ListParagraph"/>
        <w:numPr>
          <w:ilvl w:val="0"/>
          <w:numId w:val="4"/>
        </w:numPr>
        <w:tabs>
          <w:tab w:pos="664" w:val="left" w:leader="none"/>
        </w:tabs>
        <w:spacing w:line="240" w:lineRule="auto" w:before="0" w:after="0"/>
        <w:ind w:left="664" w:right="253" w:hanging="284"/>
        <w:jc w:val="left"/>
        <w:rPr>
          <w:sz w:val="20"/>
        </w:rPr>
      </w:pPr>
      <w:r>
        <w:rPr>
          <w:b/>
          <w:i/>
          <w:sz w:val="20"/>
        </w:rPr>
        <w:t>Duchenne-Muskeldystrophie (-e) </w:t>
      </w:r>
      <w:r>
        <w:rPr>
          <w:sz w:val="20"/>
        </w:rPr>
        <w:t>= häufigste muskuläre Erbkrankheit im Kindesalter, von der fast nur</w:t>
      </w:r>
      <w:bookmarkStart w:name="_bookmark2" w:id="4"/>
      <w:bookmarkEnd w:id="4"/>
      <w:r>
        <w:rPr>
          <w:sz w:val="20"/>
        </w:rPr>
      </w:r>
      <w:r>
        <w:rPr>
          <w:sz w:val="20"/>
        </w:rPr>
        <w:t> Jungen betroffen</w:t>
      </w:r>
      <w:r>
        <w:rPr>
          <w:spacing w:val="-12"/>
          <w:sz w:val="20"/>
        </w:rPr>
        <w:t> </w:t>
      </w:r>
      <w:r>
        <w:rPr>
          <w:sz w:val="20"/>
        </w:rPr>
        <w:t>sind</w:t>
      </w:r>
    </w:p>
    <w:p>
      <w:pPr>
        <w:pStyle w:val="ListParagraph"/>
        <w:numPr>
          <w:ilvl w:val="0"/>
          <w:numId w:val="4"/>
        </w:numPr>
        <w:tabs>
          <w:tab w:pos="664" w:val="left" w:leader="none"/>
        </w:tabs>
        <w:spacing w:line="240" w:lineRule="auto" w:before="0" w:after="0"/>
        <w:ind w:left="664" w:right="0" w:hanging="284"/>
        <w:jc w:val="left"/>
        <w:rPr>
          <w:sz w:val="20"/>
        </w:rPr>
      </w:pPr>
      <w:bookmarkStart w:name="_bookmark3" w:id="5"/>
      <w:bookmarkEnd w:id="5"/>
      <w:r>
        <w:rPr/>
      </w:r>
      <w:bookmarkStart w:name="_bookmark3" w:id="6"/>
      <w:bookmarkEnd w:id="6"/>
      <w:r>
        <w:rPr>
          <w:b/>
          <w:i/>
          <w:sz w:val="20"/>
        </w:rPr>
        <w:t>i</w:t>
      </w:r>
      <w:r>
        <w:rPr>
          <w:b/>
          <w:i/>
          <w:sz w:val="20"/>
        </w:rPr>
        <w:t>ntrauterin </w:t>
      </w:r>
      <w:r>
        <w:rPr>
          <w:sz w:val="20"/>
        </w:rPr>
        <w:t>= innerhalb der</w:t>
      </w:r>
      <w:r>
        <w:rPr>
          <w:spacing w:val="-24"/>
          <w:sz w:val="20"/>
        </w:rPr>
        <w:t> </w:t>
      </w:r>
      <w:r>
        <w:rPr>
          <w:sz w:val="20"/>
        </w:rPr>
        <w:t>Gebärmutter</w:t>
      </w:r>
    </w:p>
    <w:p>
      <w:pPr>
        <w:pStyle w:val="ListParagraph"/>
        <w:numPr>
          <w:ilvl w:val="0"/>
          <w:numId w:val="4"/>
        </w:numPr>
        <w:tabs>
          <w:tab w:pos="664" w:val="left" w:leader="none"/>
        </w:tabs>
        <w:spacing w:line="240" w:lineRule="auto" w:before="0" w:after="0"/>
        <w:ind w:left="664" w:right="256" w:hanging="284"/>
        <w:jc w:val="left"/>
        <w:rPr>
          <w:sz w:val="20"/>
        </w:rPr>
      </w:pPr>
      <w:r>
        <w:rPr>
          <w:b/>
          <w:i/>
          <w:sz w:val="20"/>
        </w:rPr>
        <w:t>Präimplantationsdiagnostik (-e) </w:t>
      </w:r>
      <w:r>
        <w:rPr>
          <w:sz w:val="20"/>
        </w:rPr>
        <w:t>= Untersuchung von Embryonen auf Erbkrankheiten oder genetische</w:t>
      </w:r>
      <w:bookmarkStart w:name="_bookmark4" w:id="7"/>
      <w:bookmarkEnd w:id="7"/>
      <w:r>
        <w:rPr>
          <w:sz w:val="20"/>
        </w:rPr>
      </w:r>
      <w:r>
        <w:rPr>
          <w:sz w:val="20"/>
        </w:rPr>
        <w:t> Besonderheiten im Vorfeld einer künstlichen</w:t>
      </w:r>
      <w:r>
        <w:rPr>
          <w:spacing w:val="-32"/>
          <w:sz w:val="20"/>
        </w:rPr>
        <w:t> </w:t>
      </w:r>
      <w:r>
        <w:rPr>
          <w:sz w:val="20"/>
        </w:rPr>
        <w:t>Befruchtung</w:t>
      </w:r>
    </w:p>
    <w:p>
      <w:pPr>
        <w:pStyle w:val="ListParagraph"/>
        <w:numPr>
          <w:ilvl w:val="0"/>
          <w:numId w:val="4"/>
        </w:numPr>
        <w:tabs>
          <w:tab w:pos="664" w:val="left" w:leader="none"/>
        </w:tabs>
        <w:spacing w:line="240" w:lineRule="auto" w:before="0" w:after="0"/>
        <w:ind w:left="664" w:right="0" w:hanging="284"/>
        <w:jc w:val="left"/>
        <w:rPr>
          <w:sz w:val="20"/>
        </w:rPr>
      </w:pPr>
      <w:r>
        <w:rPr>
          <w:b/>
          <w:i/>
          <w:sz w:val="20"/>
        </w:rPr>
        <w:t>Disposition (-e) </w:t>
      </w:r>
      <w:r>
        <w:rPr>
          <w:sz w:val="20"/>
        </w:rPr>
        <w:t>= hier:</w:t>
      </w:r>
      <w:r>
        <w:rPr>
          <w:spacing w:val="-21"/>
          <w:sz w:val="20"/>
        </w:rPr>
        <w:t> </w:t>
      </w:r>
      <w:r>
        <w:rPr>
          <w:sz w:val="20"/>
        </w:rPr>
        <w:t>Veranlagung</w:t>
      </w:r>
    </w:p>
    <w:p>
      <w:pPr>
        <w:spacing w:after="0" w:line="240" w:lineRule="auto"/>
        <w:jc w:val="left"/>
        <w:rPr>
          <w:sz w:val="20"/>
        </w:rPr>
        <w:sectPr>
          <w:type w:val="continuous"/>
          <w:pgSz w:w="11910" w:h="16840"/>
          <w:pgMar w:top="700" w:bottom="280" w:left="1040" w:right="3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2180"/>
        <w:gridCol w:w="2180"/>
        <w:gridCol w:w="3180"/>
      </w:tblGrid>
      <w:tr>
        <w:trPr>
          <w:trHeight w:val="1060" w:hRule="atLeast"/>
        </w:trPr>
        <w:tc>
          <w:tcPr>
            <w:tcW w:w="2768" w:type="dxa"/>
          </w:tcPr>
          <w:p>
            <w:pPr>
              <w:pStyle w:val="TableParagraph"/>
              <w:spacing w:before="9"/>
              <w:rPr>
                <w:sz w:val="25"/>
              </w:rPr>
            </w:pPr>
          </w:p>
          <w:p>
            <w:pPr>
              <w:pStyle w:val="TableParagraph"/>
              <w:ind w:left="409" w:hanging="190"/>
              <w:rPr>
                <w:sz w:val="20"/>
              </w:rPr>
            </w:pPr>
            <w:r>
              <w:rPr>
                <w:sz w:val="20"/>
              </w:rPr>
              <w:t>Diskursprojekt GenomEdit Unterrichtsmaterialien</w:t>
            </w:r>
          </w:p>
        </w:tc>
        <w:tc>
          <w:tcPr>
            <w:tcW w:w="4360" w:type="dxa"/>
            <w:gridSpan w:val="2"/>
          </w:tcPr>
          <w:p>
            <w:pPr>
              <w:pStyle w:val="TableParagraph"/>
              <w:spacing w:before="43"/>
              <w:ind w:left="365" w:right="361" w:hanging="4"/>
              <w:jc w:val="center"/>
              <w:rPr>
                <w:b/>
                <w:sz w:val="28"/>
              </w:rPr>
            </w:pPr>
            <w:r>
              <w:rPr>
                <w:b/>
                <w:sz w:val="28"/>
              </w:rPr>
              <w:t>Wie ist der Umgang mit Embryonen in</w:t>
            </w:r>
            <w:r>
              <w:rPr>
                <w:b/>
                <w:spacing w:val="-15"/>
                <w:sz w:val="28"/>
              </w:rPr>
              <w:t> </w:t>
            </w:r>
            <w:r>
              <w:rPr>
                <w:b/>
                <w:sz w:val="28"/>
              </w:rPr>
              <w:t>Deutschland gesetzlich</w:t>
            </w:r>
            <w:r>
              <w:rPr>
                <w:b/>
                <w:spacing w:val="-16"/>
                <w:sz w:val="28"/>
              </w:rPr>
              <w:t> </w:t>
            </w:r>
            <w:r>
              <w:rPr>
                <w:b/>
                <w:sz w:val="28"/>
              </w:rPr>
              <w:t>geregelt?</w:t>
            </w:r>
          </w:p>
        </w:tc>
        <w:tc>
          <w:tcPr>
            <w:tcW w:w="3180" w:type="dxa"/>
          </w:tcPr>
          <w:p>
            <w:pPr>
              <w:pStyle w:val="TableParagraph"/>
              <w:spacing w:before="4"/>
              <w:rPr>
                <w:sz w:val="4"/>
              </w:rPr>
            </w:pPr>
          </w:p>
          <w:p>
            <w:pPr>
              <w:pStyle w:val="TableParagraph"/>
              <w:ind w:left="314"/>
              <w:rPr>
                <w:sz w:val="20"/>
              </w:rPr>
            </w:pPr>
            <w:r>
              <w:rPr>
                <w:sz w:val="20"/>
              </w:rPr>
              <w:drawing>
                <wp:inline distT="0" distB="0" distL="0" distR="0">
                  <wp:extent cx="1651895" cy="617220"/>
                  <wp:effectExtent l="0" t="0" r="0" b="0"/>
                  <wp:docPr id="3" name="image1.jpeg" descr=""/>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651895" cy="617220"/>
                          </a:xfrm>
                          <a:prstGeom prst="rect">
                            <a:avLst/>
                          </a:prstGeom>
                        </pic:spPr>
                      </pic:pic>
                    </a:graphicData>
                  </a:graphic>
                </wp:inline>
              </w:drawing>
            </w:r>
            <w:r>
              <w:rPr>
                <w:sz w:val="20"/>
              </w:rPr>
            </w:r>
          </w:p>
        </w:tc>
      </w:tr>
      <w:tr>
        <w:trPr>
          <w:trHeight w:val="540" w:hRule="atLeast"/>
        </w:trPr>
        <w:tc>
          <w:tcPr>
            <w:tcW w:w="2768" w:type="dxa"/>
          </w:tcPr>
          <w:p>
            <w:pPr>
              <w:pStyle w:val="TableParagraph"/>
              <w:spacing w:before="156"/>
              <w:ind w:left="105"/>
              <w:rPr>
                <w:sz w:val="20"/>
              </w:rPr>
            </w:pPr>
            <w:r>
              <w:rPr>
                <w:b/>
                <w:sz w:val="20"/>
              </w:rPr>
              <w:t>Autor</w:t>
            </w:r>
            <w:r>
              <w:rPr>
                <w:sz w:val="20"/>
              </w:rPr>
              <w:t>: Sophia Gerber</w:t>
            </w:r>
          </w:p>
        </w:tc>
        <w:tc>
          <w:tcPr>
            <w:tcW w:w="2180" w:type="dxa"/>
          </w:tcPr>
          <w:p>
            <w:pPr>
              <w:pStyle w:val="TableParagraph"/>
              <w:spacing w:before="156"/>
              <w:ind w:left="105"/>
              <w:rPr>
                <w:sz w:val="20"/>
              </w:rPr>
            </w:pPr>
            <w:r>
              <w:rPr>
                <w:b/>
                <w:sz w:val="20"/>
              </w:rPr>
              <w:t>Fach</w:t>
            </w:r>
            <w:r>
              <w:rPr>
                <w:sz w:val="20"/>
              </w:rPr>
              <w:t>: Ethik</w:t>
            </w:r>
          </w:p>
        </w:tc>
        <w:tc>
          <w:tcPr>
            <w:tcW w:w="2180" w:type="dxa"/>
          </w:tcPr>
          <w:p>
            <w:pPr>
              <w:pStyle w:val="TableParagraph"/>
              <w:spacing w:before="156"/>
              <w:ind w:left="105"/>
              <w:rPr>
                <w:sz w:val="20"/>
              </w:rPr>
            </w:pPr>
            <w:r>
              <w:rPr>
                <w:b/>
                <w:sz w:val="20"/>
              </w:rPr>
              <w:t>Klasse</w:t>
            </w:r>
            <w:r>
              <w:rPr>
                <w:sz w:val="20"/>
              </w:rPr>
              <w:t>: 10</w:t>
            </w:r>
          </w:p>
        </w:tc>
        <w:tc>
          <w:tcPr>
            <w:tcW w:w="3180" w:type="dxa"/>
          </w:tcPr>
          <w:p>
            <w:pPr>
              <w:pStyle w:val="TableParagraph"/>
              <w:spacing w:before="156"/>
              <w:ind w:left="105"/>
              <w:rPr>
                <w:sz w:val="20"/>
              </w:rPr>
            </w:pPr>
            <w:r>
              <w:rPr>
                <w:sz w:val="20"/>
              </w:rPr>
              <w:t>Blatt Nr.: 2 / 3</w:t>
            </w:r>
          </w:p>
        </w:tc>
      </w:tr>
    </w:tbl>
    <w:p>
      <w:pPr>
        <w:pStyle w:val="BodyText"/>
        <w:rPr>
          <w:sz w:val="20"/>
        </w:rPr>
      </w:pPr>
    </w:p>
    <w:p>
      <w:pPr>
        <w:pStyle w:val="BodyText"/>
        <w:spacing w:before="93"/>
        <w:ind w:left="886" w:right="311" w:hanging="450"/>
        <w:jc w:val="both"/>
      </w:pPr>
      <w:r>
        <w:rPr/>
        <w:t>25 rechtswidrig, wer zur Herbeiführung einer Schwangerschaft mit schriftlicher Einwilligung der Frau, von der die Eizelle stammt, nach dem allgemein anerkannten Stand der medizinischen Wissenschaft und Technik Zellen des Embryos in vitro vor dem intrauterinen Transfer auf die Gefahr dieser Krankheit genetisch untersucht. Nicht rechtswidrig   handelt   auch,   wer   eine   Präimplantationsdiagnostik   mit   schriftlicher</w:t>
      </w:r>
    </w:p>
    <w:p>
      <w:pPr>
        <w:pStyle w:val="BodyText"/>
        <w:ind w:left="886" w:right="312" w:hanging="450"/>
        <w:jc w:val="both"/>
      </w:pPr>
      <w:r>
        <w:rPr/>
        <w:t>30 Einwilligung der Frau, von der die Eizelle stammt, zur Feststellung einer schwerwiegenden Schädigung des Embryos vornimmt, die mit hoher  Wahrscheinlichkeit zu einer Tot- oder Fehlgeburt führen</w:t>
      </w:r>
      <w:r>
        <w:rPr>
          <w:spacing w:val="-23"/>
        </w:rPr>
        <w:t> </w:t>
      </w:r>
      <w:r>
        <w:rPr/>
        <w:t>wird.</w:t>
      </w:r>
    </w:p>
    <w:p>
      <w:pPr>
        <w:pStyle w:val="ListParagraph"/>
        <w:numPr>
          <w:ilvl w:val="0"/>
          <w:numId w:val="3"/>
        </w:numPr>
        <w:tabs>
          <w:tab w:pos="1246" w:val="left" w:leader="none"/>
        </w:tabs>
        <w:spacing w:line="240" w:lineRule="auto" w:before="0" w:after="0"/>
        <w:ind w:left="1245" w:right="0" w:hanging="359"/>
        <w:jc w:val="left"/>
        <w:rPr>
          <w:sz w:val="24"/>
        </w:rPr>
      </w:pPr>
      <w:r>
        <w:rPr>
          <w:sz w:val="24"/>
        </w:rPr>
        <w:t>Eine Präimplantationsdiagnostik nach Absatz 2 darf</w:t>
      </w:r>
      <w:r>
        <w:rPr>
          <w:spacing w:val="-23"/>
          <w:sz w:val="24"/>
        </w:rPr>
        <w:t> </w:t>
      </w:r>
      <w:r>
        <w:rPr>
          <w:sz w:val="24"/>
        </w:rPr>
        <w:t>nur</w:t>
      </w:r>
    </w:p>
    <w:p>
      <w:pPr>
        <w:pStyle w:val="ListParagraph"/>
        <w:numPr>
          <w:ilvl w:val="1"/>
          <w:numId w:val="3"/>
        </w:numPr>
        <w:tabs>
          <w:tab w:pos="1606" w:val="left" w:leader="none"/>
        </w:tabs>
        <w:spacing w:line="240" w:lineRule="auto" w:before="0" w:after="0"/>
        <w:ind w:left="1606" w:right="0" w:hanging="360"/>
        <w:jc w:val="left"/>
        <w:rPr>
          <w:sz w:val="24"/>
        </w:rPr>
      </w:pPr>
      <w:r>
        <w:rPr>
          <w:sz w:val="24"/>
        </w:rPr>
        <w:t>nach</w:t>
      </w:r>
      <w:r>
        <w:rPr>
          <w:spacing w:val="11"/>
          <w:sz w:val="24"/>
        </w:rPr>
        <w:t> </w:t>
      </w:r>
      <w:r>
        <w:rPr>
          <w:sz w:val="24"/>
        </w:rPr>
        <w:t>Aufklärung</w:t>
      </w:r>
      <w:r>
        <w:rPr>
          <w:spacing w:val="13"/>
          <w:sz w:val="24"/>
        </w:rPr>
        <w:t> </w:t>
      </w:r>
      <w:r>
        <w:rPr>
          <w:sz w:val="24"/>
        </w:rPr>
        <w:t>und</w:t>
      </w:r>
      <w:r>
        <w:rPr>
          <w:spacing w:val="13"/>
          <w:sz w:val="24"/>
        </w:rPr>
        <w:t> </w:t>
      </w:r>
      <w:r>
        <w:rPr>
          <w:sz w:val="24"/>
        </w:rPr>
        <w:t>Beratung</w:t>
      </w:r>
      <w:r>
        <w:rPr>
          <w:spacing w:val="13"/>
          <w:sz w:val="24"/>
        </w:rPr>
        <w:t> </w:t>
      </w:r>
      <w:r>
        <w:rPr>
          <w:sz w:val="24"/>
        </w:rPr>
        <w:t>zu</w:t>
      </w:r>
      <w:r>
        <w:rPr>
          <w:spacing w:val="13"/>
          <w:sz w:val="24"/>
        </w:rPr>
        <w:t> </w:t>
      </w:r>
      <w:r>
        <w:rPr>
          <w:sz w:val="24"/>
        </w:rPr>
        <w:t>den</w:t>
      </w:r>
      <w:r>
        <w:rPr>
          <w:spacing w:val="13"/>
          <w:sz w:val="24"/>
        </w:rPr>
        <w:t> </w:t>
      </w:r>
      <w:r>
        <w:rPr>
          <w:sz w:val="24"/>
        </w:rPr>
        <w:t>medizinischen,</w:t>
      </w:r>
      <w:r>
        <w:rPr>
          <w:spacing w:val="12"/>
          <w:sz w:val="24"/>
        </w:rPr>
        <w:t> </w:t>
      </w:r>
      <w:r>
        <w:rPr>
          <w:sz w:val="24"/>
        </w:rPr>
        <w:t>psychischen</w:t>
      </w:r>
      <w:r>
        <w:rPr>
          <w:spacing w:val="13"/>
          <w:sz w:val="24"/>
        </w:rPr>
        <w:t> </w:t>
      </w:r>
      <w:r>
        <w:rPr>
          <w:sz w:val="24"/>
        </w:rPr>
        <w:t>und</w:t>
      </w:r>
      <w:r>
        <w:rPr>
          <w:spacing w:val="13"/>
          <w:sz w:val="24"/>
        </w:rPr>
        <w:t> </w:t>
      </w:r>
      <w:r>
        <w:rPr>
          <w:sz w:val="24"/>
        </w:rPr>
        <w:t>sozialen</w:t>
      </w:r>
    </w:p>
    <w:p>
      <w:pPr>
        <w:pStyle w:val="BodyText"/>
        <w:tabs>
          <w:tab w:pos="1605" w:val="left" w:leader="none"/>
        </w:tabs>
        <w:ind w:left="1606" w:right="312" w:hanging="1170"/>
        <w:jc w:val="both"/>
      </w:pPr>
      <w:r>
        <w:rPr/>
        <w:t>35</w:t>
        <w:tab/>
        <w:t>Folgen der von der Frau gewünschten genetischen Untersuchung von</w:t>
      </w:r>
      <w:r>
        <w:rPr>
          <w:spacing w:val="36"/>
        </w:rPr>
        <w:t> </w:t>
      </w:r>
      <w:r>
        <w:rPr/>
        <w:t>Zellen</w:t>
      </w:r>
      <w:r>
        <w:rPr>
          <w:spacing w:val="3"/>
        </w:rPr>
        <w:t> </w:t>
      </w:r>
      <w:r>
        <w:rPr/>
        <w:t>der Embryonen, wobei die Aufklärung vor der Einholung der Einwilligung zu erfolgen hat,</w:t>
      </w:r>
    </w:p>
    <w:p>
      <w:pPr>
        <w:pStyle w:val="ListParagraph"/>
        <w:numPr>
          <w:ilvl w:val="1"/>
          <w:numId w:val="3"/>
        </w:numPr>
        <w:tabs>
          <w:tab w:pos="1606" w:val="left" w:leader="none"/>
        </w:tabs>
        <w:spacing w:line="240" w:lineRule="auto" w:before="0" w:after="0"/>
        <w:ind w:left="1606" w:right="310" w:hanging="360"/>
        <w:jc w:val="both"/>
        <w:rPr>
          <w:sz w:val="24"/>
        </w:rPr>
      </w:pPr>
      <w:r>
        <w:rPr>
          <w:sz w:val="24"/>
        </w:rPr>
        <w:t>nachdem eine interdisziplinär zusammengesetzte Ethikkommission an den zugelassenen    Zentren    für    Präimplantationsdiagnostik   die   Einhaltung </w:t>
      </w:r>
      <w:r>
        <w:rPr>
          <w:spacing w:val="13"/>
          <w:sz w:val="24"/>
        </w:rPr>
        <w:t> </w:t>
      </w:r>
      <w:r>
        <w:rPr>
          <w:sz w:val="24"/>
        </w:rPr>
        <w:t>der</w:t>
      </w:r>
    </w:p>
    <w:p>
      <w:pPr>
        <w:pStyle w:val="BodyText"/>
        <w:tabs>
          <w:tab w:pos="1605" w:val="left" w:leader="none"/>
        </w:tabs>
        <w:ind w:left="1606" w:right="312" w:hanging="1170"/>
        <w:jc w:val="both"/>
      </w:pPr>
      <w:r>
        <w:rPr/>
        <w:t>40</w:t>
        <w:tab/>
        <w:t>Voraussetzungen  des  Absatzes  2  geprüft  und  eine</w:t>
      </w:r>
      <w:r>
        <w:rPr>
          <w:spacing w:val="57"/>
        </w:rPr>
        <w:t> </w:t>
      </w:r>
      <w:r>
        <w:rPr/>
        <w:t>zustimmende</w:t>
      </w:r>
      <w:r>
        <w:rPr>
          <w:spacing w:val="62"/>
        </w:rPr>
        <w:t> </w:t>
      </w:r>
      <w:r>
        <w:rPr/>
        <w:t>Bewertung abgegeben hat</w:t>
      </w:r>
      <w:r>
        <w:rPr>
          <w:spacing w:val="-7"/>
        </w:rPr>
        <w:t> </w:t>
      </w:r>
      <w:r>
        <w:rPr/>
        <w:t>und</w:t>
      </w:r>
    </w:p>
    <w:p>
      <w:pPr>
        <w:pStyle w:val="ListParagraph"/>
        <w:numPr>
          <w:ilvl w:val="1"/>
          <w:numId w:val="3"/>
        </w:numPr>
        <w:tabs>
          <w:tab w:pos="1606" w:val="left" w:leader="none"/>
        </w:tabs>
        <w:spacing w:line="240" w:lineRule="auto" w:before="0" w:after="0"/>
        <w:ind w:left="1606" w:right="309" w:hanging="360"/>
        <w:jc w:val="both"/>
        <w:rPr>
          <w:sz w:val="24"/>
        </w:rPr>
      </w:pPr>
      <w:r>
        <w:rPr>
          <w:sz w:val="24"/>
        </w:rPr>
        <w:t>durch einen hierfür qualifizierten Arzt in für die Präimplantationsdiagnostik zugelassenen Zentren, die über die für die Durchführung der Maßnahmen der Präimplantationsdiagnostik   notwendigen   diagnostischen,   medizinischen </w:t>
      </w:r>
      <w:r>
        <w:rPr>
          <w:spacing w:val="55"/>
          <w:sz w:val="24"/>
        </w:rPr>
        <w:t> </w:t>
      </w:r>
      <w:r>
        <w:rPr>
          <w:sz w:val="24"/>
        </w:rPr>
        <w:t>und</w:t>
      </w:r>
    </w:p>
    <w:p>
      <w:pPr>
        <w:pStyle w:val="BodyText"/>
        <w:tabs>
          <w:tab w:pos="1605" w:val="left" w:leader="none"/>
        </w:tabs>
        <w:ind w:left="435"/>
      </w:pPr>
      <w:r>
        <w:rPr/>
        <w:t>45</w:t>
        <w:tab/>
        <w:t>technischen Möglichkeiten</w:t>
      </w:r>
      <w:r>
        <w:rPr>
          <w:spacing w:val="-13"/>
        </w:rPr>
        <w:t> </w:t>
      </w:r>
      <w:r>
        <w:rPr/>
        <w:t>verfügen,</w:t>
      </w:r>
    </w:p>
    <w:p>
      <w:pPr>
        <w:pStyle w:val="BodyText"/>
        <w:spacing w:before="11"/>
        <w:rPr>
          <w:sz w:val="23"/>
        </w:rPr>
      </w:pPr>
    </w:p>
    <w:p>
      <w:pPr>
        <w:spacing w:before="0"/>
        <w:ind w:left="886" w:right="0" w:firstLine="0"/>
        <w:jc w:val="left"/>
        <w:rPr>
          <w:i/>
          <w:sz w:val="24"/>
        </w:rPr>
      </w:pPr>
      <w:r>
        <w:rPr>
          <w:i/>
          <w:sz w:val="24"/>
        </w:rPr>
        <w:t>§ 5 Künstliche Veränderung menschlicher Keimbahnzellen</w:t>
      </w:r>
    </w:p>
    <w:p>
      <w:pPr>
        <w:pStyle w:val="ListParagraph"/>
        <w:numPr>
          <w:ilvl w:val="0"/>
          <w:numId w:val="5"/>
        </w:numPr>
        <w:tabs>
          <w:tab w:pos="1258" w:val="left" w:leader="none"/>
        </w:tabs>
        <w:spacing w:line="240" w:lineRule="auto" w:before="0" w:after="0"/>
        <w:ind w:left="886" w:right="319" w:firstLine="0"/>
        <w:jc w:val="left"/>
        <w:rPr>
          <w:sz w:val="24"/>
        </w:rPr>
      </w:pPr>
      <w:r>
        <w:rPr>
          <w:sz w:val="24"/>
        </w:rPr>
        <w:t>Wer die Erbinformation einer menschlichen Keimbahnzelle künstlich verändert, wird mit Freiheitsstrafe bis zu fünf Jahren oder mit Geldstrafe</w:t>
      </w:r>
      <w:r>
        <w:rPr>
          <w:spacing w:val="-26"/>
          <w:sz w:val="24"/>
        </w:rPr>
        <w:t> </w:t>
      </w:r>
      <w:r>
        <w:rPr>
          <w:sz w:val="24"/>
        </w:rPr>
        <w:t>bestraft.</w:t>
      </w:r>
    </w:p>
    <w:p>
      <w:pPr>
        <w:pStyle w:val="ListParagraph"/>
        <w:numPr>
          <w:ilvl w:val="0"/>
          <w:numId w:val="5"/>
        </w:numPr>
        <w:tabs>
          <w:tab w:pos="1304" w:val="left" w:leader="none"/>
        </w:tabs>
        <w:spacing w:line="240" w:lineRule="auto" w:before="0" w:after="0"/>
        <w:ind w:left="1303" w:right="0" w:hanging="417"/>
        <w:jc w:val="left"/>
        <w:rPr>
          <w:sz w:val="24"/>
        </w:rPr>
      </w:pPr>
      <w:r>
        <w:rPr>
          <w:sz w:val="24"/>
        </w:rPr>
        <w:t>Ebenso</w:t>
      </w:r>
      <w:r>
        <w:rPr>
          <w:spacing w:val="55"/>
          <w:sz w:val="24"/>
        </w:rPr>
        <w:t> </w:t>
      </w:r>
      <w:r>
        <w:rPr>
          <w:sz w:val="24"/>
        </w:rPr>
        <w:t>wird</w:t>
      </w:r>
      <w:r>
        <w:rPr>
          <w:spacing w:val="52"/>
          <w:sz w:val="24"/>
        </w:rPr>
        <w:t> </w:t>
      </w:r>
      <w:r>
        <w:rPr>
          <w:sz w:val="24"/>
        </w:rPr>
        <w:t>bestraft,</w:t>
      </w:r>
      <w:r>
        <w:rPr>
          <w:spacing w:val="53"/>
          <w:sz w:val="24"/>
        </w:rPr>
        <w:t> </w:t>
      </w:r>
      <w:r>
        <w:rPr>
          <w:sz w:val="24"/>
        </w:rPr>
        <w:t>wer</w:t>
      </w:r>
      <w:r>
        <w:rPr>
          <w:spacing w:val="55"/>
          <w:sz w:val="24"/>
        </w:rPr>
        <w:t> </w:t>
      </w:r>
      <w:r>
        <w:rPr>
          <w:sz w:val="24"/>
        </w:rPr>
        <w:t>eine</w:t>
      </w:r>
      <w:r>
        <w:rPr>
          <w:spacing w:val="52"/>
          <w:sz w:val="24"/>
        </w:rPr>
        <w:t> </w:t>
      </w:r>
      <w:r>
        <w:rPr>
          <w:sz w:val="24"/>
        </w:rPr>
        <w:t>menschliche</w:t>
      </w:r>
      <w:r>
        <w:rPr>
          <w:spacing w:val="52"/>
          <w:sz w:val="24"/>
        </w:rPr>
        <w:t> </w:t>
      </w:r>
      <w:r>
        <w:rPr>
          <w:sz w:val="24"/>
        </w:rPr>
        <w:t>Keimzelle</w:t>
      </w:r>
      <w:r>
        <w:rPr>
          <w:spacing w:val="52"/>
          <w:sz w:val="24"/>
        </w:rPr>
        <w:t> </w:t>
      </w:r>
      <w:r>
        <w:rPr>
          <w:sz w:val="24"/>
        </w:rPr>
        <w:t>mit</w:t>
      </w:r>
      <w:r>
        <w:rPr>
          <w:spacing w:val="51"/>
          <w:sz w:val="24"/>
        </w:rPr>
        <w:t> </w:t>
      </w:r>
      <w:r>
        <w:rPr>
          <w:sz w:val="24"/>
        </w:rPr>
        <w:t>künstlich</w:t>
      </w:r>
      <w:r>
        <w:rPr>
          <w:spacing w:val="55"/>
          <w:sz w:val="24"/>
        </w:rPr>
        <w:t> </w:t>
      </w:r>
      <w:r>
        <w:rPr>
          <w:sz w:val="24"/>
        </w:rPr>
        <w:t>veränderter</w:t>
      </w:r>
    </w:p>
    <w:p>
      <w:pPr>
        <w:pStyle w:val="BodyText"/>
        <w:ind w:left="435"/>
      </w:pPr>
      <w:r>
        <w:rPr/>
        <w:t>50   Erbinformation zur Befruchtung verwendet. […]</w:t>
      </w:r>
    </w:p>
    <w:p>
      <w:pPr>
        <w:pStyle w:val="ListParagraph"/>
        <w:numPr>
          <w:ilvl w:val="0"/>
          <w:numId w:val="6"/>
        </w:numPr>
        <w:tabs>
          <w:tab w:pos="1246" w:val="left" w:leader="none"/>
        </w:tabs>
        <w:spacing w:line="240" w:lineRule="auto" w:before="0" w:after="0"/>
        <w:ind w:left="1245" w:right="0" w:hanging="359"/>
        <w:jc w:val="left"/>
        <w:rPr>
          <w:sz w:val="24"/>
        </w:rPr>
      </w:pPr>
      <w:r>
        <w:rPr>
          <w:sz w:val="24"/>
        </w:rPr>
        <w:t>Absatz 1 findet keine Anwendung</w:t>
      </w:r>
      <w:r>
        <w:rPr>
          <w:spacing w:val="-14"/>
          <w:sz w:val="24"/>
        </w:rPr>
        <w:t> </w:t>
      </w:r>
      <w:r>
        <w:rPr>
          <w:sz w:val="24"/>
        </w:rPr>
        <w:t>auf</w:t>
      </w:r>
    </w:p>
    <w:p>
      <w:pPr>
        <w:pStyle w:val="ListParagraph"/>
        <w:numPr>
          <w:ilvl w:val="1"/>
          <w:numId w:val="6"/>
        </w:numPr>
        <w:tabs>
          <w:tab w:pos="1606" w:val="left" w:leader="none"/>
        </w:tabs>
        <w:spacing w:line="240" w:lineRule="auto" w:before="0" w:after="0"/>
        <w:ind w:left="1606" w:right="309" w:hanging="360"/>
        <w:jc w:val="both"/>
        <w:rPr>
          <w:sz w:val="24"/>
        </w:rPr>
      </w:pPr>
      <w:r>
        <w:rPr>
          <w:sz w:val="24"/>
        </w:rPr>
        <w:t>eine künstliche Veränderung der Erbinformation einer außerhalb des Körpers befindlichen Keimzelle, wenn ausgeschlossen ist, dass diese zur Befruchtung verwendet</w:t>
      </w:r>
      <w:r>
        <w:rPr>
          <w:spacing w:val="-6"/>
          <w:sz w:val="24"/>
        </w:rPr>
        <w:t> </w:t>
      </w:r>
      <w:r>
        <w:rPr>
          <w:sz w:val="24"/>
        </w:rPr>
        <w:t>wird,</w:t>
      </w:r>
    </w:p>
    <w:p>
      <w:pPr>
        <w:pStyle w:val="BodyText"/>
        <w:ind w:left="1606" w:right="309" w:hanging="1170"/>
        <w:jc w:val="both"/>
      </w:pPr>
      <w:r>
        <w:rPr/>
        <w:t>55 • eine künstliche Veränderung der Erbinformation einer sonstigen körpereigenen Keimbahnzelle, die einer toten Leibesfrucht, einem Menschen oder einem Verstorbenen entnommen worden ist, wenn ausgeschlossen ist, dass diese auf einen Embryo, Fötus oder Menschen übertragen wird oder aus ihr eine Keimzelle entsteht</w:t>
      </w:r>
    </w:p>
    <w:p>
      <w:pPr>
        <w:pStyle w:val="BodyText"/>
        <w:tabs>
          <w:tab w:pos="1219" w:val="left" w:leader="none"/>
        </w:tabs>
        <w:ind w:left="435"/>
      </w:pPr>
      <w:r>
        <w:rPr/>
        <w:t>60</w:t>
        <w:tab/>
        <w:t>sowie</w:t>
      </w:r>
    </w:p>
    <w:p>
      <w:pPr>
        <w:pStyle w:val="ListParagraph"/>
        <w:numPr>
          <w:ilvl w:val="0"/>
          <w:numId w:val="7"/>
        </w:numPr>
        <w:tabs>
          <w:tab w:pos="1606" w:val="left" w:leader="none"/>
        </w:tabs>
        <w:spacing w:line="240" w:lineRule="auto" w:before="0" w:after="0"/>
        <w:ind w:left="1606" w:right="308" w:hanging="360"/>
        <w:jc w:val="both"/>
        <w:rPr>
          <w:sz w:val="24"/>
        </w:rPr>
      </w:pPr>
      <w:r>
        <w:rPr>
          <w:sz w:val="24"/>
        </w:rPr>
        <w:t>Impfungen, strahlen-, chemotherapeutische oder andere Behandlungen, mit denen eine Veränderung der Erbinformation von Keimbahnzellen nicht beabsichtigt</w:t>
      </w:r>
      <w:r>
        <w:rPr>
          <w:spacing w:val="-6"/>
          <w:sz w:val="24"/>
        </w:rPr>
        <w:t> </w:t>
      </w:r>
      <w:r>
        <w:rPr>
          <w:sz w:val="24"/>
        </w:rPr>
        <w:t>ist.</w:t>
      </w:r>
    </w:p>
    <w:p>
      <w:pPr>
        <w:pStyle w:val="BodyText"/>
        <w:spacing w:before="11"/>
        <w:rPr>
          <w:sz w:val="23"/>
        </w:rPr>
      </w:pPr>
    </w:p>
    <w:p>
      <w:pPr>
        <w:spacing w:before="0"/>
        <w:ind w:left="886" w:right="0" w:firstLine="0"/>
        <w:jc w:val="left"/>
        <w:rPr>
          <w:i/>
          <w:sz w:val="24"/>
        </w:rPr>
      </w:pPr>
      <w:r>
        <w:rPr>
          <w:i/>
          <w:sz w:val="24"/>
        </w:rPr>
        <w:t>§ 6 Klonen</w:t>
      </w:r>
    </w:p>
    <w:p>
      <w:pPr>
        <w:pStyle w:val="BodyText"/>
        <w:ind w:left="886" w:right="310" w:hanging="450"/>
        <w:jc w:val="both"/>
      </w:pPr>
      <w:r>
        <w:rPr/>
        <w:t>65 (1) Wer künstlich bewirkt, dass ein menschlicher Embryo mit der gleichen  Erbinformation wie ein anderer Embryo, ein Fötus, ein Mensch oder ein Verstorbener entsteht, wird mit Freiheitsstrafe bis zu fünf Jahren oder mit Geldstrafe</w:t>
      </w:r>
      <w:r>
        <w:rPr>
          <w:spacing w:val="-30"/>
        </w:rPr>
        <w:t> </w:t>
      </w:r>
      <w:r>
        <w:rPr/>
        <w:t>bestraft.</w:t>
      </w:r>
    </w:p>
    <w:p>
      <w:pPr>
        <w:pStyle w:val="BodyText"/>
        <w:ind w:left="886"/>
      </w:pPr>
      <w:r>
        <w:rPr/>
        <w:t>(2) Ebenso wird bestraft, wer einen in Absatz 1 bezeichneten Embryo auf eine Frau überträgt.</w:t>
      </w:r>
    </w:p>
    <w:p>
      <w:pPr>
        <w:spacing w:before="55"/>
        <w:ind w:left="380" w:right="0" w:firstLine="0"/>
        <w:jc w:val="left"/>
        <w:rPr>
          <w:i/>
          <w:sz w:val="20"/>
        </w:rPr>
      </w:pPr>
      <w:r>
        <w:rPr>
          <w:i/>
          <w:sz w:val="20"/>
        </w:rPr>
        <w:t>Quelle: Embryonenschutzgesetz vom 13. Dezember 1990 (BGBl. I S. 2746), zuletzt geändert am 21.11.2011</w:t>
      </w:r>
    </w:p>
    <w:p>
      <w:pPr>
        <w:spacing w:after="0"/>
        <w:jc w:val="left"/>
        <w:rPr>
          <w:sz w:val="20"/>
        </w:rPr>
        <w:sectPr>
          <w:pgSz w:w="11910" w:h="16840"/>
          <w:pgMar w:top="700" w:bottom="280" w:left="1040" w:right="3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2180"/>
        <w:gridCol w:w="2180"/>
        <w:gridCol w:w="3180"/>
      </w:tblGrid>
      <w:tr>
        <w:trPr>
          <w:trHeight w:val="1060" w:hRule="atLeast"/>
        </w:trPr>
        <w:tc>
          <w:tcPr>
            <w:tcW w:w="2768" w:type="dxa"/>
          </w:tcPr>
          <w:p>
            <w:pPr>
              <w:pStyle w:val="TableParagraph"/>
              <w:spacing w:before="9"/>
              <w:rPr>
                <w:i/>
                <w:sz w:val="25"/>
              </w:rPr>
            </w:pPr>
          </w:p>
          <w:p>
            <w:pPr>
              <w:pStyle w:val="TableParagraph"/>
              <w:ind w:left="409" w:hanging="190"/>
              <w:rPr>
                <w:sz w:val="20"/>
              </w:rPr>
            </w:pPr>
            <w:r>
              <w:rPr>
                <w:sz w:val="20"/>
              </w:rPr>
              <w:t>Diskursprojekt GenomEdit Unterrichtsmaterialien</w:t>
            </w:r>
          </w:p>
        </w:tc>
        <w:tc>
          <w:tcPr>
            <w:tcW w:w="4360" w:type="dxa"/>
            <w:gridSpan w:val="2"/>
          </w:tcPr>
          <w:p>
            <w:pPr>
              <w:pStyle w:val="TableParagraph"/>
              <w:spacing w:before="43"/>
              <w:ind w:left="365" w:right="361" w:hanging="4"/>
              <w:jc w:val="center"/>
              <w:rPr>
                <w:b/>
                <w:sz w:val="28"/>
              </w:rPr>
            </w:pPr>
            <w:r>
              <w:rPr>
                <w:b/>
                <w:sz w:val="28"/>
              </w:rPr>
              <w:t>Wie ist der Umgang mit Embryonen in</w:t>
            </w:r>
            <w:r>
              <w:rPr>
                <w:b/>
                <w:spacing w:val="-15"/>
                <w:sz w:val="28"/>
              </w:rPr>
              <w:t> </w:t>
            </w:r>
            <w:r>
              <w:rPr>
                <w:b/>
                <w:sz w:val="28"/>
              </w:rPr>
              <w:t>Deutschland gesetzlich</w:t>
            </w:r>
            <w:r>
              <w:rPr>
                <w:b/>
                <w:spacing w:val="-16"/>
                <w:sz w:val="28"/>
              </w:rPr>
              <w:t> </w:t>
            </w:r>
            <w:r>
              <w:rPr>
                <w:b/>
                <w:sz w:val="28"/>
              </w:rPr>
              <w:t>geregelt?</w:t>
            </w:r>
          </w:p>
        </w:tc>
        <w:tc>
          <w:tcPr>
            <w:tcW w:w="3180" w:type="dxa"/>
          </w:tcPr>
          <w:p>
            <w:pPr>
              <w:pStyle w:val="TableParagraph"/>
              <w:spacing w:before="4"/>
              <w:rPr>
                <w:i/>
                <w:sz w:val="4"/>
              </w:rPr>
            </w:pPr>
          </w:p>
          <w:p>
            <w:pPr>
              <w:pStyle w:val="TableParagraph"/>
              <w:ind w:left="314"/>
              <w:rPr>
                <w:sz w:val="20"/>
              </w:rPr>
            </w:pPr>
            <w:r>
              <w:rPr>
                <w:sz w:val="20"/>
              </w:rPr>
              <w:drawing>
                <wp:inline distT="0" distB="0" distL="0" distR="0">
                  <wp:extent cx="1651895" cy="617220"/>
                  <wp:effectExtent l="0" t="0" r="0" b="0"/>
                  <wp:docPr id="5" name="image1.jpeg" descr=""/>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651895" cy="617220"/>
                          </a:xfrm>
                          <a:prstGeom prst="rect">
                            <a:avLst/>
                          </a:prstGeom>
                        </pic:spPr>
                      </pic:pic>
                    </a:graphicData>
                  </a:graphic>
                </wp:inline>
              </w:drawing>
            </w:r>
            <w:r>
              <w:rPr>
                <w:sz w:val="20"/>
              </w:rPr>
            </w:r>
          </w:p>
        </w:tc>
      </w:tr>
      <w:tr>
        <w:trPr>
          <w:trHeight w:val="540" w:hRule="atLeast"/>
        </w:trPr>
        <w:tc>
          <w:tcPr>
            <w:tcW w:w="2768" w:type="dxa"/>
          </w:tcPr>
          <w:p>
            <w:pPr>
              <w:pStyle w:val="TableParagraph"/>
              <w:spacing w:before="156"/>
              <w:ind w:left="105"/>
              <w:rPr>
                <w:sz w:val="20"/>
              </w:rPr>
            </w:pPr>
            <w:r>
              <w:rPr>
                <w:b/>
                <w:sz w:val="20"/>
              </w:rPr>
              <w:t>Autor</w:t>
            </w:r>
            <w:r>
              <w:rPr>
                <w:sz w:val="20"/>
              </w:rPr>
              <w:t>: Sophia Gerber</w:t>
            </w:r>
          </w:p>
        </w:tc>
        <w:tc>
          <w:tcPr>
            <w:tcW w:w="2180" w:type="dxa"/>
          </w:tcPr>
          <w:p>
            <w:pPr>
              <w:pStyle w:val="TableParagraph"/>
              <w:spacing w:before="156"/>
              <w:ind w:left="105"/>
              <w:rPr>
                <w:sz w:val="20"/>
              </w:rPr>
            </w:pPr>
            <w:r>
              <w:rPr>
                <w:b/>
                <w:sz w:val="20"/>
              </w:rPr>
              <w:t>Fach</w:t>
            </w:r>
            <w:r>
              <w:rPr>
                <w:sz w:val="20"/>
              </w:rPr>
              <w:t>: Ethik</w:t>
            </w:r>
          </w:p>
        </w:tc>
        <w:tc>
          <w:tcPr>
            <w:tcW w:w="2180" w:type="dxa"/>
          </w:tcPr>
          <w:p>
            <w:pPr>
              <w:pStyle w:val="TableParagraph"/>
              <w:spacing w:before="156"/>
              <w:ind w:left="105"/>
              <w:rPr>
                <w:sz w:val="20"/>
              </w:rPr>
            </w:pPr>
            <w:r>
              <w:rPr>
                <w:b/>
                <w:sz w:val="20"/>
              </w:rPr>
              <w:t>Klasse</w:t>
            </w:r>
            <w:r>
              <w:rPr>
                <w:sz w:val="20"/>
              </w:rPr>
              <w:t>: 10</w:t>
            </w:r>
          </w:p>
        </w:tc>
        <w:tc>
          <w:tcPr>
            <w:tcW w:w="3180" w:type="dxa"/>
          </w:tcPr>
          <w:p>
            <w:pPr>
              <w:pStyle w:val="TableParagraph"/>
              <w:spacing w:before="156"/>
              <w:ind w:left="105"/>
              <w:rPr>
                <w:sz w:val="20"/>
              </w:rPr>
            </w:pPr>
            <w:r>
              <w:rPr>
                <w:sz w:val="20"/>
              </w:rPr>
              <w:t>Blatt Nr.: 3 / 3</w:t>
            </w:r>
          </w:p>
        </w:tc>
      </w:tr>
    </w:tbl>
    <w:p>
      <w:pPr>
        <w:pStyle w:val="BodyText"/>
        <w:spacing w:before="2"/>
        <w:rPr>
          <w:i/>
          <w:sz w:val="15"/>
        </w:rPr>
      </w:pPr>
    </w:p>
    <w:p>
      <w:pPr>
        <w:pStyle w:val="Heading1"/>
      </w:pPr>
      <w:r>
        <w:rPr/>
        <w:t>M2 Erlaubt oder verboten?</w:t>
      </w:r>
    </w:p>
    <w:p>
      <w:pPr>
        <w:pStyle w:val="BodyText"/>
        <w:rPr>
          <w:b/>
        </w:rPr>
      </w:pPr>
    </w:p>
    <w:tbl>
      <w:tblPr>
        <w:tblW w:w="0" w:type="auto"/>
        <w:jc w:val="left"/>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40"/>
        <w:gridCol w:w="1360"/>
        <w:gridCol w:w="1360"/>
        <w:gridCol w:w="1362"/>
      </w:tblGrid>
      <w:tr>
        <w:trPr>
          <w:trHeight w:val="380" w:hRule="atLeast"/>
        </w:trPr>
        <w:tc>
          <w:tcPr>
            <w:tcW w:w="5840" w:type="dxa"/>
          </w:tcPr>
          <w:p>
            <w:pPr>
              <w:pStyle w:val="TableParagraph"/>
              <w:spacing w:before="55"/>
              <w:ind w:left="2411" w:right="2409"/>
              <w:jc w:val="center"/>
              <w:rPr>
                <w:b/>
                <w:sz w:val="24"/>
              </w:rPr>
            </w:pPr>
            <w:r>
              <w:rPr>
                <w:b/>
                <w:sz w:val="24"/>
              </w:rPr>
              <w:t>Umgang</w:t>
            </w:r>
          </w:p>
        </w:tc>
        <w:tc>
          <w:tcPr>
            <w:tcW w:w="1360" w:type="dxa"/>
          </w:tcPr>
          <w:p>
            <w:pPr>
              <w:pStyle w:val="TableParagraph"/>
              <w:spacing w:before="55"/>
              <w:ind w:left="272"/>
              <w:rPr>
                <w:b/>
                <w:sz w:val="24"/>
              </w:rPr>
            </w:pPr>
            <w:r>
              <w:rPr>
                <w:b/>
                <w:sz w:val="24"/>
              </w:rPr>
              <w:t>erlaubt</w:t>
            </w:r>
          </w:p>
        </w:tc>
        <w:tc>
          <w:tcPr>
            <w:tcW w:w="1360" w:type="dxa"/>
          </w:tcPr>
          <w:p>
            <w:pPr>
              <w:pStyle w:val="TableParagraph"/>
              <w:spacing w:before="55"/>
              <w:ind w:left="164"/>
              <w:rPr>
                <w:b/>
                <w:sz w:val="24"/>
              </w:rPr>
            </w:pPr>
            <w:r>
              <w:rPr>
                <w:b/>
                <w:sz w:val="24"/>
              </w:rPr>
              <w:t>verboten</w:t>
            </w:r>
          </w:p>
        </w:tc>
        <w:tc>
          <w:tcPr>
            <w:tcW w:w="1362" w:type="dxa"/>
          </w:tcPr>
          <w:p>
            <w:pPr>
              <w:pStyle w:val="TableParagraph"/>
              <w:spacing w:before="55"/>
              <w:ind w:left="80"/>
              <w:rPr>
                <w:b/>
                <w:sz w:val="24"/>
              </w:rPr>
            </w:pPr>
            <w:r>
              <w:rPr>
                <w:b/>
                <w:sz w:val="24"/>
              </w:rPr>
              <w:t>Paragraph</w:t>
            </w:r>
          </w:p>
        </w:tc>
      </w:tr>
      <w:tr>
        <w:trPr>
          <w:trHeight w:val="920" w:hRule="atLeast"/>
        </w:trPr>
        <w:tc>
          <w:tcPr>
            <w:tcW w:w="5840" w:type="dxa"/>
          </w:tcPr>
          <w:p>
            <w:pPr>
              <w:pStyle w:val="TableParagraph"/>
              <w:spacing w:before="55"/>
              <w:ind w:left="47" w:right="109"/>
              <w:rPr>
                <w:sz w:val="24"/>
              </w:rPr>
            </w:pPr>
            <w:r>
              <w:rPr>
                <w:sz w:val="24"/>
              </w:rPr>
              <w:t>menschliche Keimbahnzellen zur Befruchtung absichtlich künstlich – etwa mittels Gentechnik – verändern</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193"/>
              <w:ind w:left="47" w:right="109"/>
              <w:rPr>
                <w:sz w:val="24"/>
              </w:rPr>
            </w:pPr>
            <w:r>
              <w:rPr>
                <w:sz w:val="24"/>
              </w:rPr>
              <w:t>Veränderungen von nicht zur Befruchtung bestimmten Keimzellen</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193"/>
              <w:ind w:left="47" w:right="109"/>
              <w:rPr>
                <w:sz w:val="24"/>
              </w:rPr>
            </w:pPr>
            <w:r>
              <w:rPr>
                <w:sz w:val="24"/>
              </w:rPr>
              <w:t>Veränderungen von nicht zur Übertragung verwendeten körpereigenen Zellen</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55"/>
              <w:ind w:left="47"/>
              <w:rPr>
                <w:sz w:val="24"/>
              </w:rPr>
            </w:pPr>
            <w:r>
              <w:rPr>
                <w:sz w:val="24"/>
              </w:rPr>
              <w:t>unbeabsichtigte Veränderungen von Keimbahnzellen, die durch Impfungen, Strahlen- oder Chemotherapie eingetreten sind</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8"/>
              <w:rPr>
                <w:b/>
                <w:sz w:val="28"/>
              </w:rPr>
            </w:pPr>
          </w:p>
          <w:p>
            <w:pPr>
              <w:pStyle w:val="TableParagraph"/>
              <w:spacing w:before="1"/>
              <w:ind w:left="47"/>
              <w:rPr>
                <w:sz w:val="24"/>
              </w:rPr>
            </w:pPr>
            <w:r>
              <w:rPr>
                <w:sz w:val="24"/>
              </w:rPr>
              <w:t>menschliche Klone züchten</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8"/>
              <w:rPr>
                <w:b/>
                <w:sz w:val="28"/>
              </w:rPr>
            </w:pPr>
          </w:p>
          <w:p>
            <w:pPr>
              <w:pStyle w:val="TableParagraph"/>
              <w:spacing w:before="1"/>
              <w:ind w:left="47"/>
              <w:rPr>
                <w:sz w:val="24"/>
              </w:rPr>
            </w:pPr>
            <w:r>
              <w:rPr>
                <w:sz w:val="24"/>
              </w:rPr>
              <w:t>Verwendung von Embryonen zu Forschungszwecken</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55"/>
              <w:ind w:left="47" w:right="109"/>
              <w:rPr>
                <w:sz w:val="24"/>
              </w:rPr>
            </w:pPr>
            <w:r>
              <w:rPr>
                <w:sz w:val="24"/>
              </w:rPr>
              <w:t>künstliche Befruchtung mit einem nach dem gewünschten Geschlecht ausgesuchten Spermium</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55"/>
              <w:ind w:left="47" w:right="109"/>
              <w:rPr>
                <w:sz w:val="24"/>
              </w:rPr>
            </w:pPr>
            <w:r>
              <w:rPr>
                <w:sz w:val="24"/>
              </w:rPr>
              <w:t>Geschlechtswahl zur Vermeidung einer geschlechtsgebundenen, schweren Erbkrankheit</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8"/>
              <w:rPr>
                <w:b/>
                <w:sz w:val="28"/>
              </w:rPr>
            </w:pPr>
          </w:p>
          <w:p>
            <w:pPr>
              <w:pStyle w:val="TableParagraph"/>
              <w:spacing w:before="1"/>
              <w:ind w:left="47"/>
              <w:rPr>
                <w:sz w:val="24"/>
              </w:rPr>
            </w:pPr>
            <w:r>
              <w:rPr>
                <w:sz w:val="24"/>
              </w:rPr>
              <w:t>grundsätzliche Präimplantationsdiagnostik</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r>
        <w:trPr>
          <w:trHeight w:val="920" w:hRule="atLeast"/>
        </w:trPr>
        <w:tc>
          <w:tcPr>
            <w:tcW w:w="5840" w:type="dxa"/>
          </w:tcPr>
          <w:p>
            <w:pPr>
              <w:pStyle w:val="TableParagraph"/>
              <w:spacing w:before="55"/>
              <w:ind w:left="47" w:right="596"/>
              <w:rPr>
                <w:sz w:val="24"/>
              </w:rPr>
            </w:pPr>
            <w:r>
              <w:rPr>
                <w:sz w:val="24"/>
              </w:rPr>
              <w:t>Präimplantationsdiagnostik in Ausnahmefällen (z. B. bei schwerwiegenden Erbkrankheiten oder einer wahrscheinlichen Tot- oder Fehlgeburt)</w:t>
            </w:r>
          </w:p>
        </w:tc>
        <w:tc>
          <w:tcPr>
            <w:tcW w:w="1360" w:type="dxa"/>
          </w:tcPr>
          <w:p>
            <w:pPr>
              <w:pStyle w:val="TableParagraph"/>
              <w:rPr>
                <w:rFonts w:ascii="Times New Roman"/>
                <w:sz w:val="22"/>
              </w:rPr>
            </w:pPr>
          </w:p>
        </w:tc>
        <w:tc>
          <w:tcPr>
            <w:tcW w:w="1360" w:type="dxa"/>
          </w:tcPr>
          <w:p>
            <w:pPr>
              <w:pStyle w:val="TableParagraph"/>
              <w:rPr>
                <w:rFonts w:ascii="Times New Roman"/>
                <w:sz w:val="22"/>
              </w:rPr>
            </w:pPr>
          </w:p>
        </w:tc>
        <w:tc>
          <w:tcPr>
            <w:tcW w:w="1362" w:type="dxa"/>
          </w:tcPr>
          <w:p>
            <w:pPr>
              <w:pStyle w:val="TableParagraph"/>
              <w:rPr>
                <w:rFonts w:ascii="Times New Roman"/>
                <w:sz w:val="22"/>
              </w:rPr>
            </w:pPr>
          </w:p>
        </w:tc>
      </w:tr>
    </w:tbl>
    <w:sectPr>
      <w:pgSz w:w="11910" w:h="16840"/>
      <w:pgMar w:top="700" w:bottom="280" w:left="10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06" w:hanging="360"/>
      </w:pPr>
      <w:rPr>
        <w:rFonts w:hint="default" w:ascii="Arial" w:hAnsi="Arial" w:eastAsia="Arial" w:cs="Arial"/>
        <w:w w:val="101"/>
        <w:sz w:val="24"/>
        <w:szCs w:val="24"/>
      </w:rPr>
    </w:lvl>
    <w:lvl w:ilvl="1">
      <w:start w:val="0"/>
      <w:numFmt w:val="bullet"/>
      <w:lvlText w:val="•"/>
      <w:lvlJc w:val="left"/>
      <w:pPr>
        <w:ind w:left="2494" w:hanging="360"/>
      </w:pPr>
      <w:rPr>
        <w:rFonts w:hint="default"/>
      </w:rPr>
    </w:lvl>
    <w:lvl w:ilvl="2">
      <w:start w:val="0"/>
      <w:numFmt w:val="bullet"/>
      <w:lvlText w:val="•"/>
      <w:lvlJc w:val="left"/>
      <w:pPr>
        <w:ind w:left="3389" w:hanging="360"/>
      </w:pPr>
      <w:rPr>
        <w:rFonts w:hint="default"/>
      </w:rPr>
    </w:lvl>
    <w:lvl w:ilvl="3">
      <w:start w:val="0"/>
      <w:numFmt w:val="bullet"/>
      <w:lvlText w:val="•"/>
      <w:lvlJc w:val="left"/>
      <w:pPr>
        <w:ind w:left="4283" w:hanging="360"/>
      </w:pPr>
      <w:rPr>
        <w:rFonts w:hint="default"/>
      </w:rPr>
    </w:lvl>
    <w:lvl w:ilvl="4">
      <w:start w:val="0"/>
      <w:numFmt w:val="bullet"/>
      <w:lvlText w:val="•"/>
      <w:lvlJc w:val="left"/>
      <w:pPr>
        <w:ind w:left="5178" w:hanging="360"/>
      </w:pPr>
      <w:rPr>
        <w:rFonts w:hint="default"/>
      </w:rPr>
    </w:lvl>
    <w:lvl w:ilvl="5">
      <w:start w:val="0"/>
      <w:numFmt w:val="bullet"/>
      <w:lvlText w:val="•"/>
      <w:lvlJc w:val="left"/>
      <w:pPr>
        <w:ind w:left="6073" w:hanging="360"/>
      </w:pPr>
      <w:rPr>
        <w:rFonts w:hint="default"/>
      </w:rPr>
    </w:lvl>
    <w:lvl w:ilvl="6">
      <w:start w:val="0"/>
      <w:numFmt w:val="bullet"/>
      <w:lvlText w:val="•"/>
      <w:lvlJc w:val="left"/>
      <w:pPr>
        <w:ind w:left="6967" w:hanging="360"/>
      </w:pPr>
      <w:rPr>
        <w:rFonts w:hint="default"/>
      </w:rPr>
    </w:lvl>
    <w:lvl w:ilvl="7">
      <w:start w:val="0"/>
      <w:numFmt w:val="bullet"/>
      <w:lvlText w:val="•"/>
      <w:lvlJc w:val="left"/>
      <w:pPr>
        <w:ind w:left="7862" w:hanging="360"/>
      </w:pPr>
      <w:rPr>
        <w:rFonts w:hint="default"/>
      </w:rPr>
    </w:lvl>
    <w:lvl w:ilvl="8">
      <w:start w:val="0"/>
      <w:numFmt w:val="bullet"/>
      <w:lvlText w:val="•"/>
      <w:lvlJc w:val="left"/>
      <w:pPr>
        <w:ind w:left="8756" w:hanging="360"/>
      </w:pPr>
      <w:rPr>
        <w:rFonts w:hint="default"/>
      </w:rPr>
    </w:lvl>
  </w:abstractNum>
  <w:abstractNum w:abstractNumId="4">
    <w:multiLevelType w:val="hybridMultilevel"/>
    <w:lvl w:ilvl="0">
      <w:start w:val="1"/>
      <w:numFmt w:val="decimal"/>
      <w:lvlText w:val="(%1)"/>
      <w:lvlJc w:val="left"/>
      <w:pPr>
        <w:ind w:left="886" w:hanging="372"/>
        <w:jc w:val="left"/>
      </w:pPr>
      <w:rPr>
        <w:rFonts w:hint="default" w:ascii="Arial" w:hAnsi="Arial" w:eastAsia="Arial" w:cs="Arial"/>
        <w:w w:val="100"/>
        <w:sz w:val="24"/>
        <w:szCs w:val="24"/>
      </w:rPr>
    </w:lvl>
    <w:lvl w:ilvl="1">
      <w:start w:val="0"/>
      <w:numFmt w:val="bullet"/>
      <w:lvlText w:val="•"/>
      <w:lvlJc w:val="left"/>
      <w:pPr>
        <w:ind w:left="1846" w:hanging="372"/>
      </w:pPr>
      <w:rPr>
        <w:rFonts w:hint="default"/>
      </w:rPr>
    </w:lvl>
    <w:lvl w:ilvl="2">
      <w:start w:val="0"/>
      <w:numFmt w:val="bullet"/>
      <w:lvlText w:val="•"/>
      <w:lvlJc w:val="left"/>
      <w:pPr>
        <w:ind w:left="2813" w:hanging="372"/>
      </w:pPr>
      <w:rPr>
        <w:rFonts w:hint="default"/>
      </w:rPr>
    </w:lvl>
    <w:lvl w:ilvl="3">
      <w:start w:val="0"/>
      <w:numFmt w:val="bullet"/>
      <w:lvlText w:val="•"/>
      <w:lvlJc w:val="left"/>
      <w:pPr>
        <w:ind w:left="3779" w:hanging="372"/>
      </w:pPr>
      <w:rPr>
        <w:rFonts w:hint="default"/>
      </w:rPr>
    </w:lvl>
    <w:lvl w:ilvl="4">
      <w:start w:val="0"/>
      <w:numFmt w:val="bullet"/>
      <w:lvlText w:val="•"/>
      <w:lvlJc w:val="left"/>
      <w:pPr>
        <w:ind w:left="4746" w:hanging="372"/>
      </w:pPr>
      <w:rPr>
        <w:rFonts w:hint="default"/>
      </w:rPr>
    </w:lvl>
    <w:lvl w:ilvl="5">
      <w:start w:val="0"/>
      <w:numFmt w:val="bullet"/>
      <w:lvlText w:val="•"/>
      <w:lvlJc w:val="left"/>
      <w:pPr>
        <w:ind w:left="5713" w:hanging="372"/>
      </w:pPr>
      <w:rPr>
        <w:rFonts w:hint="default"/>
      </w:rPr>
    </w:lvl>
    <w:lvl w:ilvl="6">
      <w:start w:val="0"/>
      <w:numFmt w:val="bullet"/>
      <w:lvlText w:val="•"/>
      <w:lvlJc w:val="left"/>
      <w:pPr>
        <w:ind w:left="6679" w:hanging="372"/>
      </w:pPr>
      <w:rPr>
        <w:rFonts w:hint="default"/>
      </w:rPr>
    </w:lvl>
    <w:lvl w:ilvl="7">
      <w:start w:val="0"/>
      <w:numFmt w:val="bullet"/>
      <w:lvlText w:val="•"/>
      <w:lvlJc w:val="left"/>
      <w:pPr>
        <w:ind w:left="7646" w:hanging="372"/>
      </w:pPr>
      <w:rPr>
        <w:rFonts w:hint="default"/>
      </w:rPr>
    </w:lvl>
    <w:lvl w:ilvl="8">
      <w:start w:val="0"/>
      <w:numFmt w:val="bullet"/>
      <w:lvlText w:val="•"/>
      <w:lvlJc w:val="left"/>
      <w:pPr>
        <w:ind w:left="8612" w:hanging="372"/>
      </w:pPr>
      <w:rPr>
        <w:rFonts w:hint="default"/>
      </w:rPr>
    </w:lvl>
  </w:abstractNum>
  <w:abstractNum w:abstractNumId="2">
    <w:multiLevelType w:val="hybridMultilevel"/>
    <w:lvl w:ilvl="0">
      <w:start w:val="1"/>
      <w:numFmt w:val="decimal"/>
      <w:lvlText w:val="(%1)"/>
      <w:lvlJc w:val="left"/>
      <w:pPr>
        <w:ind w:left="886" w:hanging="418"/>
        <w:jc w:val="left"/>
      </w:pPr>
      <w:rPr>
        <w:rFonts w:hint="default" w:ascii="Arial" w:hAnsi="Arial" w:eastAsia="Arial" w:cs="Arial"/>
        <w:spacing w:val="-10"/>
        <w:w w:val="100"/>
        <w:sz w:val="24"/>
        <w:szCs w:val="24"/>
      </w:rPr>
    </w:lvl>
    <w:lvl w:ilvl="1">
      <w:start w:val="1"/>
      <w:numFmt w:val="decimal"/>
      <w:lvlText w:val="%2."/>
      <w:lvlJc w:val="left"/>
      <w:pPr>
        <w:ind w:left="1606" w:hanging="360"/>
        <w:jc w:val="left"/>
      </w:pPr>
      <w:rPr>
        <w:rFonts w:hint="default" w:ascii="Arial" w:hAnsi="Arial" w:eastAsia="Arial" w:cs="Arial"/>
        <w:spacing w:val="-2"/>
        <w:w w:val="100"/>
        <w:sz w:val="24"/>
        <w:szCs w:val="24"/>
      </w:rPr>
    </w:lvl>
    <w:lvl w:ilvl="2">
      <w:start w:val="0"/>
      <w:numFmt w:val="bullet"/>
      <w:lvlText w:val="•"/>
      <w:lvlJc w:val="left"/>
      <w:pPr>
        <w:ind w:left="2594" w:hanging="360"/>
      </w:pPr>
      <w:rPr>
        <w:rFonts w:hint="default"/>
      </w:rPr>
    </w:lvl>
    <w:lvl w:ilvl="3">
      <w:start w:val="0"/>
      <w:numFmt w:val="bullet"/>
      <w:lvlText w:val="•"/>
      <w:lvlJc w:val="left"/>
      <w:pPr>
        <w:ind w:left="3588" w:hanging="360"/>
      </w:pPr>
      <w:rPr>
        <w:rFonts w:hint="default"/>
      </w:rPr>
    </w:lvl>
    <w:lvl w:ilvl="4">
      <w:start w:val="0"/>
      <w:numFmt w:val="bullet"/>
      <w:lvlText w:val="•"/>
      <w:lvlJc w:val="left"/>
      <w:pPr>
        <w:ind w:left="4582" w:hanging="360"/>
      </w:pPr>
      <w:rPr>
        <w:rFonts w:hint="default"/>
      </w:rPr>
    </w:lvl>
    <w:lvl w:ilvl="5">
      <w:start w:val="0"/>
      <w:numFmt w:val="bullet"/>
      <w:lvlText w:val="•"/>
      <w:lvlJc w:val="left"/>
      <w:pPr>
        <w:ind w:left="5576" w:hanging="360"/>
      </w:pPr>
      <w:rPr>
        <w:rFonts w:hint="default"/>
      </w:rPr>
    </w:lvl>
    <w:lvl w:ilvl="6">
      <w:start w:val="0"/>
      <w:numFmt w:val="bullet"/>
      <w:lvlText w:val="•"/>
      <w:lvlJc w:val="left"/>
      <w:pPr>
        <w:ind w:left="6570"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558" w:hanging="360"/>
      </w:pPr>
      <w:rPr>
        <w:rFonts w:hint="default"/>
      </w:rPr>
    </w:lvl>
  </w:abstractNum>
  <w:abstractNum w:abstractNumId="5">
    <w:multiLevelType w:val="hybridMultilevel"/>
    <w:lvl w:ilvl="0">
      <w:start w:val="4"/>
      <w:numFmt w:val="decimal"/>
      <w:lvlText w:val="(%1)"/>
      <w:lvlJc w:val="left"/>
      <w:pPr>
        <w:ind w:left="1245" w:hanging="360"/>
        <w:jc w:val="left"/>
      </w:pPr>
      <w:rPr>
        <w:rFonts w:hint="default" w:ascii="Arial" w:hAnsi="Arial" w:eastAsia="Arial" w:cs="Arial"/>
        <w:w w:val="100"/>
        <w:sz w:val="24"/>
        <w:szCs w:val="24"/>
      </w:rPr>
    </w:lvl>
    <w:lvl w:ilvl="1">
      <w:start w:val="0"/>
      <w:numFmt w:val="bullet"/>
      <w:lvlText w:val="•"/>
      <w:lvlJc w:val="left"/>
      <w:pPr>
        <w:ind w:left="1606" w:hanging="360"/>
      </w:pPr>
      <w:rPr>
        <w:rFonts w:hint="default" w:ascii="Arial" w:hAnsi="Arial" w:eastAsia="Arial" w:cs="Arial"/>
        <w:w w:val="101"/>
        <w:sz w:val="24"/>
        <w:szCs w:val="24"/>
      </w:rPr>
    </w:lvl>
    <w:lvl w:ilvl="2">
      <w:start w:val="0"/>
      <w:numFmt w:val="bullet"/>
      <w:lvlText w:val="•"/>
      <w:lvlJc w:val="left"/>
      <w:pPr>
        <w:ind w:left="2594" w:hanging="360"/>
      </w:pPr>
      <w:rPr>
        <w:rFonts w:hint="default"/>
      </w:rPr>
    </w:lvl>
    <w:lvl w:ilvl="3">
      <w:start w:val="0"/>
      <w:numFmt w:val="bullet"/>
      <w:lvlText w:val="•"/>
      <w:lvlJc w:val="left"/>
      <w:pPr>
        <w:ind w:left="3588" w:hanging="360"/>
      </w:pPr>
      <w:rPr>
        <w:rFonts w:hint="default"/>
      </w:rPr>
    </w:lvl>
    <w:lvl w:ilvl="4">
      <w:start w:val="0"/>
      <w:numFmt w:val="bullet"/>
      <w:lvlText w:val="•"/>
      <w:lvlJc w:val="left"/>
      <w:pPr>
        <w:ind w:left="4582" w:hanging="360"/>
      </w:pPr>
      <w:rPr>
        <w:rFonts w:hint="default"/>
      </w:rPr>
    </w:lvl>
    <w:lvl w:ilvl="5">
      <w:start w:val="0"/>
      <w:numFmt w:val="bullet"/>
      <w:lvlText w:val="•"/>
      <w:lvlJc w:val="left"/>
      <w:pPr>
        <w:ind w:left="5576" w:hanging="360"/>
      </w:pPr>
      <w:rPr>
        <w:rFonts w:hint="default"/>
      </w:rPr>
    </w:lvl>
    <w:lvl w:ilvl="6">
      <w:start w:val="0"/>
      <w:numFmt w:val="bullet"/>
      <w:lvlText w:val="•"/>
      <w:lvlJc w:val="left"/>
      <w:pPr>
        <w:ind w:left="6570"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558" w:hanging="360"/>
      </w:pPr>
      <w:rPr>
        <w:rFonts w:hint="default"/>
      </w:rPr>
    </w:lvl>
  </w:abstractNum>
  <w:abstractNum w:abstractNumId="3">
    <w:multiLevelType w:val="hybridMultilevel"/>
    <w:lvl w:ilvl="0">
      <w:start w:val="1"/>
      <w:numFmt w:val="decimal"/>
      <w:lvlText w:val="%1"/>
      <w:lvlJc w:val="left"/>
      <w:pPr>
        <w:ind w:left="664" w:hanging="284"/>
        <w:jc w:val="left"/>
      </w:pPr>
      <w:rPr>
        <w:rFonts w:hint="default" w:ascii="Arial" w:hAnsi="Arial" w:eastAsia="Arial" w:cs="Arial"/>
        <w:spacing w:val="-3"/>
        <w:w w:val="100"/>
        <w:sz w:val="20"/>
        <w:szCs w:val="20"/>
      </w:rPr>
    </w:lvl>
    <w:lvl w:ilvl="1">
      <w:start w:val="0"/>
      <w:numFmt w:val="bullet"/>
      <w:lvlText w:val="•"/>
      <w:lvlJc w:val="left"/>
      <w:pPr>
        <w:ind w:left="1648" w:hanging="284"/>
      </w:pPr>
      <w:rPr>
        <w:rFonts w:hint="default"/>
      </w:rPr>
    </w:lvl>
    <w:lvl w:ilvl="2">
      <w:start w:val="0"/>
      <w:numFmt w:val="bullet"/>
      <w:lvlText w:val="•"/>
      <w:lvlJc w:val="left"/>
      <w:pPr>
        <w:ind w:left="2637" w:hanging="284"/>
      </w:pPr>
      <w:rPr>
        <w:rFonts w:hint="default"/>
      </w:rPr>
    </w:lvl>
    <w:lvl w:ilvl="3">
      <w:start w:val="0"/>
      <w:numFmt w:val="bullet"/>
      <w:lvlText w:val="•"/>
      <w:lvlJc w:val="left"/>
      <w:pPr>
        <w:ind w:left="3625" w:hanging="284"/>
      </w:pPr>
      <w:rPr>
        <w:rFonts w:hint="default"/>
      </w:rPr>
    </w:lvl>
    <w:lvl w:ilvl="4">
      <w:start w:val="0"/>
      <w:numFmt w:val="bullet"/>
      <w:lvlText w:val="•"/>
      <w:lvlJc w:val="left"/>
      <w:pPr>
        <w:ind w:left="4614" w:hanging="284"/>
      </w:pPr>
      <w:rPr>
        <w:rFonts w:hint="default"/>
      </w:rPr>
    </w:lvl>
    <w:lvl w:ilvl="5">
      <w:start w:val="0"/>
      <w:numFmt w:val="bullet"/>
      <w:lvlText w:val="•"/>
      <w:lvlJc w:val="left"/>
      <w:pPr>
        <w:ind w:left="5603" w:hanging="284"/>
      </w:pPr>
      <w:rPr>
        <w:rFonts w:hint="default"/>
      </w:rPr>
    </w:lvl>
    <w:lvl w:ilvl="6">
      <w:start w:val="0"/>
      <w:numFmt w:val="bullet"/>
      <w:lvlText w:val="•"/>
      <w:lvlJc w:val="left"/>
      <w:pPr>
        <w:ind w:left="6591" w:hanging="284"/>
      </w:pPr>
      <w:rPr>
        <w:rFonts w:hint="default"/>
      </w:rPr>
    </w:lvl>
    <w:lvl w:ilvl="7">
      <w:start w:val="0"/>
      <w:numFmt w:val="bullet"/>
      <w:lvlText w:val="•"/>
      <w:lvlJc w:val="left"/>
      <w:pPr>
        <w:ind w:left="7580" w:hanging="284"/>
      </w:pPr>
      <w:rPr>
        <w:rFonts w:hint="default"/>
      </w:rPr>
    </w:lvl>
    <w:lvl w:ilvl="8">
      <w:start w:val="0"/>
      <w:numFmt w:val="bullet"/>
      <w:lvlText w:val="•"/>
      <w:lvlJc w:val="left"/>
      <w:pPr>
        <w:ind w:left="8568" w:hanging="284"/>
      </w:pPr>
      <w:rPr>
        <w:rFonts w:hint="default"/>
      </w:rPr>
    </w:lvl>
  </w:abstractNum>
  <w:abstractNum w:abstractNumId="1">
    <w:multiLevelType w:val="hybridMultilevel"/>
    <w:lvl w:ilvl="0">
      <w:start w:val="1"/>
      <w:numFmt w:val="decimal"/>
      <w:lvlText w:val="(%1)"/>
      <w:lvlJc w:val="left"/>
      <w:pPr>
        <w:ind w:left="886" w:hanging="364"/>
        <w:jc w:val="left"/>
      </w:pPr>
      <w:rPr>
        <w:rFonts w:hint="default" w:ascii="Arial" w:hAnsi="Arial" w:eastAsia="Arial" w:cs="Arial"/>
        <w:w w:val="100"/>
        <w:sz w:val="24"/>
        <w:szCs w:val="24"/>
      </w:rPr>
    </w:lvl>
    <w:lvl w:ilvl="1">
      <w:start w:val="0"/>
      <w:numFmt w:val="bullet"/>
      <w:lvlText w:val="•"/>
      <w:lvlJc w:val="left"/>
      <w:pPr>
        <w:ind w:left="1846" w:hanging="364"/>
      </w:pPr>
      <w:rPr>
        <w:rFonts w:hint="default"/>
      </w:rPr>
    </w:lvl>
    <w:lvl w:ilvl="2">
      <w:start w:val="0"/>
      <w:numFmt w:val="bullet"/>
      <w:lvlText w:val="•"/>
      <w:lvlJc w:val="left"/>
      <w:pPr>
        <w:ind w:left="2813" w:hanging="364"/>
      </w:pPr>
      <w:rPr>
        <w:rFonts w:hint="default"/>
      </w:rPr>
    </w:lvl>
    <w:lvl w:ilvl="3">
      <w:start w:val="0"/>
      <w:numFmt w:val="bullet"/>
      <w:lvlText w:val="•"/>
      <w:lvlJc w:val="left"/>
      <w:pPr>
        <w:ind w:left="3779" w:hanging="364"/>
      </w:pPr>
      <w:rPr>
        <w:rFonts w:hint="default"/>
      </w:rPr>
    </w:lvl>
    <w:lvl w:ilvl="4">
      <w:start w:val="0"/>
      <w:numFmt w:val="bullet"/>
      <w:lvlText w:val="•"/>
      <w:lvlJc w:val="left"/>
      <w:pPr>
        <w:ind w:left="4746" w:hanging="364"/>
      </w:pPr>
      <w:rPr>
        <w:rFonts w:hint="default"/>
      </w:rPr>
    </w:lvl>
    <w:lvl w:ilvl="5">
      <w:start w:val="0"/>
      <w:numFmt w:val="bullet"/>
      <w:lvlText w:val="•"/>
      <w:lvlJc w:val="left"/>
      <w:pPr>
        <w:ind w:left="5713" w:hanging="364"/>
      </w:pPr>
      <w:rPr>
        <w:rFonts w:hint="default"/>
      </w:rPr>
    </w:lvl>
    <w:lvl w:ilvl="6">
      <w:start w:val="0"/>
      <w:numFmt w:val="bullet"/>
      <w:lvlText w:val="•"/>
      <w:lvlJc w:val="left"/>
      <w:pPr>
        <w:ind w:left="6679" w:hanging="364"/>
      </w:pPr>
      <w:rPr>
        <w:rFonts w:hint="default"/>
      </w:rPr>
    </w:lvl>
    <w:lvl w:ilvl="7">
      <w:start w:val="0"/>
      <w:numFmt w:val="bullet"/>
      <w:lvlText w:val="•"/>
      <w:lvlJc w:val="left"/>
      <w:pPr>
        <w:ind w:left="7646" w:hanging="364"/>
      </w:pPr>
      <w:rPr>
        <w:rFonts w:hint="default"/>
      </w:rPr>
    </w:lvl>
    <w:lvl w:ilvl="8">
      <w:start w:val="0"/>
      <w:numFmt w:val="bullet"/>
      <w:lvlText w:val="•"/>
      <w:lvlJc w:val="left"/>
      <w:pPr>
        <w:ind w:left="8612" w:hanging="364"/>
      </w:pPr>
      <w:rPr>
        <w:rFonts w:hint="default"/>
      </w:rPr>
    </w:lvl>
  </w:abstractNum>
  <w:abstractNum w:abstractNumId="0">
    <w:multiLevelType w:val="hybridMultilevel"/>
    <w:lvl w:ilvl="0">
      <w:start w:val="1"/>
      <w:numFmt w:val="decimal"/>
      <w:lvlText w:val="%1."/>
      <w:lvlJc w:val="left"/>
      <w:pPr>
        <w:ind w:left="287" w:hanging="284"/>
        <w:jc w:val="left"/>
      </w:pPr>
      <w:rPr>
        <w:rFonts w:hint="default" w:ascii="Arial" w:hAnsi="Arial" w:eastAsia="Arial" w:cs="Arial"/>
        <w:w w:val="100"/>
        <w:sz w:val="24"/>
        <w:szCs w:val="24"/>
      </w:rPr>
    </w:lvl>
    <w:lvl w:ilvl="1">
      <w:start w:val="0"/>
      <w:numFmt w:val="bullet"/>
      <w:lvlText w:val="•"/>
      <w:lvlJc w:val="left"/>
      <w:pPr>
        <w:ind w:left="1244" w:hanging="284"/>
      </w:pPr>
      <w:rPr>
        <w:rFonts w:hint="default"/>
      </w:rPr>
    </w:lvl>
    <w:lvl w:ilvl="2">
      <w:start w:val="0"/>
      <w:numFmt w:val="bullet"/>
      <w:lvlText w:val="•"/>
      <w:lvlJc w:val="left"/>
      <w:pPr>
        <w:ind w:left="2208" w:hanging="284"/>
      </w:pPr>
      <w:rPr>
        <w:rFonts w:hint="default"/>
      </w:rPr>
    </w:lvl>
    <w:lvl w:ilvl="3">
      <w:start w:val="0"/>
      <w:numFmt w:val="bullet"/>
      <w:lvlText w:val="•"/>
      <w:lvlJc w:val="left"/>
      <w:pPr>
        <w:ind w:left="3172" w:hanging="284"/>
      </w:pPr>
      <w:rPr>
        <w:rFonts w:hint="default"/>
      </w:rPr>
    </w:lvl>
    <w:lvl w:ilvl="4">
      <w:start w:val="0"/>
      <w:numFmt w:val="bullet"/>
      <w:lvlText w:val="•"/>
      <w:lvlJc w:val="left"/>
      <w:pPr>
        <w:ind w:left="4136" w:hanging="284"/>
      </w:pPr>
      <w:rPr>
        <w:rFonts w:hint="default"/>
      </w:rPr>
    </w:lvl>
    <w:lvl w:ilvl="5">
      <w:start w:val="0"/>
      <w:numFmt w:val="bullet"/>
      <w:lvlText w:val="•"/>
      <w:lvlJc w:val="left"/>
      <w:pPr>
        <w:ind w:left="5101" w:hanging="284"/>
      </w:pPr>
      <w:rPr>
        <w:rFonts w:hint="default"/>
      </w:rPr>
    </w:lvl>
    <w:lvl w:ilvl="6">
      <w:start w:val="0"/>
      <w:numFmt w:val="bullet"/>
      <w:lvlText w:val="•"/>
      <w:lvlJc w:val="left"/>
      <w:pPr>
        <w:ind w:left="6065" w:hanging="284"/>
      </w:pPr>
      <w:rPr>
        <w:rFonts w:hint="default"/>
      </w:rPr>
    </w:lvl>
    <w:lvl w:ilvl="7">
      <w:start w:val="0"/>
      <w:numFmt w:val="bullet"/>
      <w:lvlText w:val="•"/>
      <w:lvlJc w:val="left"/>
      <w:pPr>
        <w:ind w:left="7029" w:hanging="284"/>
      </w:pPr>
      <w:rPr>
        <w:rFonts w:hint="default"/>
      </w:rPr>
    </w:lvl>
    <w:lvl w:ilvl="8">
      <w:start w:val="0"/>
      <w:numFmt w:val="bullet"/>
      <w:lvlText w:val="•"/>
      <w:lvlJc w:val="left"/>
      <w:pPr>
        <w:ind w:left="7993" w:hanging="284"/>
      </w:pPr>
      <w:rPr>
        <w:rFonts w:hint="default"/>
      </w:rPr>
    </w:lvl>
  </w:abstractNum>
  <w:num w:numId="7">
    <w:abstractNumId w:val="6"/>
  </w:num>
  <w:num w:numId="5">
    <w:abstractNumId w:val="4"/>
  </w:num>
  <w:num w:numId="3">
    <w:abstractNumId w:val="2"/>
  </w:num>
  <w:num w:numId="6">
    <w:abstractNumId w:val="5"/>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92"/>
      <w:ind w:left="380"/>
      <w:outlineLvl w:val="1"/>
    </w:pPr>
    <w:rPr>
      <w:rFonts w:ascii="Arial" w:hAnsi="Arial" w:eastAsia="Arial" w:cs="Arial"/>
      <w:b/>
      <w:bCs/>
      <w:sz w:val="24"/>
      <w:szCs w:val="24"/>
    </w:rPr>
  </w:style>
  <w:style w:styleId="ListParagraph" w:type="paragraph">
    <w:name w:val="List Paragraph"/>
    <w:basedOn w:val="Normal"/>
    <w:uiPriority w:val="1"/>
    <w:qFormat/>
    <w:pPr>
      <w:ind w:left="664" w:hanging="284"/>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 Gökcen</dc:creator>
  <dc:subject>für das Schuljahr 2005/2006</dc:subject>
  <dc:title>Arbeitsplan für Informationstechnik</dc:title>
  <dcterms:created xsi:type="dcterms:W3CDTF">2021-01-12T10:39:51Z</dcterms:created>
  <dcterms:modified xsi:type="dcterms:W3CDTF">2021-01-12T10:39:51Z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Writer</vt:lpwstr>
  </property>
  <property fmtid="{D5CDD505-2E9C-101B-9397-08002B2CF9AE}" pid="4" name="LastSaved">
    <vt:filetime>2021-01-12T00:00:00Z</vt:filetime>
  </property>
</Properties>
</file>